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5CB6D">
      <w:pPr>
        <w:ind w:firstLine="0" w:firstLineChars="0"/>
        <w:jc w:val="center"/>
        <w:rPr>
          <w:rFonts w:hint="eastAsia" w:ascii="方正小标宋简体" w:hAnsi="方正小标宋简体" w:eastAsia="方正小标宋简体" w:cs="方正小标宋简体"/>
          <w:b w:val="0"/>
          <w:bCs w:val="0"/>
          <w:sz w:val="44"/>
          <w:szCs w:val="32"/>
          <w:lang w:val="en-US" w:eastAsia="zh-CN"/>
        </w:rPr>
      </w:pPr>
    </w:p>
    <w:p w14:paraId="7C698D5F">
      <w:pPr>
        <w:ind w:firstLine="0" w:firstLineChars="0"/>
        <w:jc w:val="center"/>
        <w:rPr>
          <w:rFonts w:hint="eastAsia" w:ascii="方正小标宋简体" w:hAnsi="方正小标宋简体" w:eastAsia="方正小标宋简体" w:cs="方正小标宋简体"/>
          <w:b w:val="0"/>
          <w:bCs w:val="0"/>
          <w:sz w:val="44"/>
          <w:szCs w:val="32"/>
          <w:lang w:val="en-US" w:eastAsia="zh-CN"/>
        </w:rPr>
      </w:pPr>
    </w:p>
    <w:p w14:paraId="31B5A16C">
      <w:pPr>
        <w:ind w:firstLine="0" w:firstLineChars="0"/>
        <w:jc w:val="center"/>
        <w:rPr>
          <w:rFonts w:hint="eastAsia" w:ascii="方正小标宋简体" w:hAnsi="方正小标宋简体" w:eastAsia="方正小标宋简体" w:cs="方正小标宋简体"/>
          <w:b w:val="0"/>
          <w:bCs w:val="0"/>
          <w:sz w:val="44"/>
          <w:szCs w:val="32"/>
        </w:rPr>
      </w:pPr>
      <w:r>
        <w:rPr>
          <w:rFonts w:hint="eastAsia" w:ascii="方正小标宋简体" w:hAnsi="方正小标宋简体" w:eastAsia="方正小标宋简体" w:cs="方正小标宋简体"/>
          <w:b w:val="0"/>
          <w:bCs w:val="0"/>
          <w:sz w:val="44"/>
          <w:szCs w:val="32"/>
          <w:lang w:val="en-US" w:eastAsia="zh-CN"/>
        </w:rPr>
        <w:t>莲鱼综合种养技术规范</w:t>
      </w:r>
    </w:p>
    <w:p w14:paraId="68E969C9">
      <w:pPr>
        <w:ind w:firstLine="0" w:firstLineChars="0"/>
        <w:jc w:val="center"/>
        <w:rPr>
          <w:rFonts w:hint="eastAsia" w:ascii="方正小标宋简体" w:hAnsi="方正小标宋简体" w:eastAsia="方正小标宋简体" w:cs="方正小标宋简体"/>
          <w:b w:val="0"/>
          <w:bCs w:val="0"/>
          <w:sz w:val="40"/>
          <w:szCs w:val="28"/>
        </w:rPr>
      </w:pPr>
    </w:p>
    <w:p w14:paraId="7DC1427B">
      <w:pPr>
        <w:ind w:firstLine="0" w:firstLineChars="0"/>
        <w:jc w:val="center"/>
        <w:rPr>
          <w:rFonts w:eastAsia="黑体"/>
          <w:sz w:val="40"/>
          <w:szCs w:val="28"/>
        </w:rPr>
      </w:pPr>
      <w:r>
        <w:rPr>
          <w:rFonts w:hint="eastAsia" w:ascii="方正小标宋简体" w:hAnsi="方正小标宋简体" w:eastAsia="方正小标宋简体" w:cs="方正小标宋简体"/>
          <w:b w:val="0"/>
          <w:bCs w:val="0"/>
          <w:sz w:val="44"/>
          <w:szCs w:val="32"/>
        </w:rPr>
        <w:t>编</w:t>
      </w:r>
      <w:r>
        <w:rPr>
          <w:rFonts w:hint="eastAsia" w:ascii="方正小标宋简体" w:hAnsi="方正小标宋简体" w:eastAsia="方正小标宋简体" w:cs="方正小标宋简体"/>
          <w:b w:val="0"/>
          <w:bCs w:val="0"/>
          <w:sz w:val="44"/>
          <w:szCs w:val="32"/>
          <w:lang w:val="en-US" w:eastAsia="zh-CN"/>
        </w:rPr>
        <w:t xml:space="preserve"> </w:t>
      </w:r>
      <w:r>
        <w:rPr>
          <w:rFonts w:hint="eastAsia" w:ascii="方正小标宋简体" w:hAnsi="方正小标宋简体" w:eastAsia="方正小标宋简体" w:cs="方正小标宋简体"/>
          <w:b w:val="0"/>
          <w:bCs w:val="0"/>
          <w:sz w:val="44"/>
          <w:szCs w:val="32"/>
        </w:rPr>
        <w:t>制</w:t>
      </w:r>
      <w:r>
        <w:rPr>
          <w:rFonts w:hint="eastAsia" w:ascii="方正小标宋简体" w:hAnsi="方正小标宋简体" w:eastAsia="方正小标宋简体" w:cs="方正小标宋简体"/>
          <w:b w:val="0"/>
          <w:bCs w:val="0"/>
          <w:sz w:val="44"/>
          <w:szCs w:val="32"/>
          <w:lang w:val="en-US" w:eastAsia="zh-CN"/>
        </w:rPr>
        <w:t xml:space="preserve"> </w:t>
      </w:r>
      <w:r>
        <w:rPr>
          <w:rFonts w:hint="eastAsia" w:ascii="方正小标宋简体" w:hAnsi="方正小标宋简体" w:eastAsia="方正小标宋简体" w:cs="方正小标宋简体"/>
          <w:b w:val="0"/>
          <w:bCs w:val="0"/>
          <w:sz w:val="44"/>
          <w:szCs w:val="32"/>
        </w:rPr>
        <w:t>说</w:t>
      </w:r>
      <w:r>
        <w:rPr>
          <w:rFonts w:hint="eastAsia" w:ascii="方正小标宋简体" w:hAnsi="方正小标宋简体" w:eastAsia="方正小标宋简体" w:cs="方正小标宋简体"/>
          <w:b w:val="0"/>
          <w:bCs w:val="0"/>
          <w:sz w:val="44"/>
          <w:szCs w:val="32"/>
          <w:lang w:val="en-US" w:eastAsia="zh-CN"/>
        </w:rPr>
        <w:t xml:space="preserve"> </w:t>
      </w:r>
      <w:r>
        <w:rPr>
          <w:rFonts w:hint="eastAsia" w:ascii="方正小标宋简体" w:hAnsi="方正小标宋简体" w:eastAsia="方正小标宋简体" w:cs="方正小标宋简体"/>
          <w:b w:val="0"/>
          <w:bCs w:val="0"/>
          <w:sz w:val="44"/>
          <w:szCs w:val="32"/>
        </w:rPr>
        <w:t>明</w:t>
      </w:r>
    </w:p>
    <w:p w14:paraId="68246789">
      <w:pPr>
        <w:ind w:firstLine="0" w:firstLineChars="0"/>
        <w:jc w:val="center"/>
        <w:rPr>
          <w:rFonts w:eastAsia="黑体"/>
          <w:sz w:val="36"/>
          <w:szCs w:val="24"/>
        </w:rPr>
      </w:pPr>
    </w:p>
    <w:p w14:paraId="25FA4AAB">
      <w:pPr>
        <w:ind w:firstLine="720"/>
        <w:jc w:val="center"/>
        <w:rPr>
          <w:rFonts w:eastAsia="黑体"/>
          <w:sz w:val="36"/>
          <w:szCs w:val="24"/>
        </w:rPr>
      </w:pPr>
    </w:p>
    <w:p w14:paraId="1F88FC66">
      <w:pPr>
        <w:ind w:firstLine="720"/>
        <w:jc w:val="center"/>
        <w:rPr>
          <w:rFonts w:eastAsia="黑体"/>
          <w:sz w:val="36"/>
          <w:szCs w:val="24"/>
        </w:rPr>
      </w:pPr>
    </w:p>
    <w:p w14:paraId="6C48C4D7">
      <w:pPr>
        <w:ind w:firstLine="720"/>
        <w:jc w:val="center"/>
        <w:rPr>
          <w:rFonts w:eastAsia="黑体"/>
          <w:sz w:val="36"/>
          <w:szCs w:val="24"/>
        </w:rPr>
      </w:pPr>
    </w:p>
    <w:p w14:paraId="3F7C1AED">
      <w:pPr>
        <w:ind w:firstLine="720"/>
        <w:jc w:val="center"/>
        <w:rPr>
          <w:rFonts w:eastAsia="黑体"/>
          <w:sz w:val="36"/>
          <w:szCs w:val="24"/>
        </w:rPr>
      </w:pPr>
    </w:p>
    <w:p w14:paraId="2A8EB793">
      <w:pPr>
        <w:ind w:firstLine="720"/>
        <w:jc w:val="center"/>
        <w:rPr>
          <w:rFonts w:eastAsia="黑体"/>
          <w:sz w:val="36"/>
          <w:szCs w:val="24"/>
        </w:rPr>
      </w:pPr>
    </w:p>
    <w:p w14:paraId="5BE6AD44">
      <w:pPr>
        <w:pStyle w:val="2"/>
        <w:rPr>
          <w:rFonts w:eastAsia="黑体"/>
          <w:sz w:val="36"/>
          <w:szCs w:val="24"/>
        </w:rPr>
      </w:pPr>
    </w:p>
    <w:p w14:paraId="2C50D8D6"/>
    <w:p w14:paraId="48E1EB22">
      <w:pPr>
        <w:ind w:firstLine="720"/>
        <w:jc w:val="center"/>
        <w:rPr>
          <w:rFonts w:eastAsia="黑体"/>
          <w:sz w:val="36"/>
          <w:szCs w:val="24"/>
        </w:rPr>
      </w:pPr>
    </w:p>
    <w:p w14:paraId="600E763F">
      <w:pPr>
        <w:pStyle w:val="2"/>
        <w:rPr>
          <w:rFonts w:eastAsia="黑体"/>
          <w:sz w:val="36"/>
          <w:szCs w:val="24"/>
        </w:rPr>
      </w:pPr>
    </w:p>
    <w:p w14:paraId="02AD582D"/>
    <w:p w14:paraId="1CD520AF">
      <w:pPr>
        <w:rPr>
          <w:rFonts w:eastAsia="黑体"/>
          <w:sz w:val="36"/>
          <w:szCs w:val="24"/>
        </w:rPr>
      </w:pPr>
    </w:p>
    <w:p w14:paraId="20FD6D33">
      <w:pPr>
        <w:pStyle w:val="2"/>
      </w:pPr>
    </w:p>
    <w:p w14:paraId="24371196">
      <w:pPr>
        <w:ind w:firstLine="0" w:firstLineChars="0"/>
        <w:jc w:val="center"/>
        <w:rPr>
          <w:rFonts w:hint="eastAsia" w:eastAsia="宋体" w:cs="Cambria"/>
          <w:b/>
          <w:bCs/>
          <w:sz w:val="28"/>
          <w:szCs w:val="28"/>
          <w:lang w:eastAsia="zh-CN"/>
        </w:rPr>
      </w:pPr>
      <w:r>
        <w:rPr>
          <w:rFonts w:hint="eastAsia" w:eastAsia="宋体" w:cs="Cambria"/>
          <w:b/>
          <w:bCs/>
          <w:sz w:val="28"/>
          <w:szCs w:val="28"/>
          <w:lang w:eastAsia="zh-CN"/>
        </w:rPr>
        <w:t>山西省水产技术推广服务中心</w:t>
      </w:r>
    </w:p>
    <w:p w14:paraId="73F5ECC7">
      <w:pPr>
        <w:ind w:firstLine="0" w:firstLineChars="0"/>
        <w:jc w:val="center"/>
        <w:rPr>
          <w:rFonts w:eastAsia="黑体"/>
          <w:b/>
          <w:bCs/>
          <w:sz w:val="36"/>
          <w:szCs w:val="24"/>
        </w:rPr>
      </w:pPr>
      <w:r>
        <w:rPr>
          <w:rFonts w:hint="eastAsia" w:eastAsia="Cambria" w:cs="Cambria"/>
          <w:b/>
          <w:bCs/>
          <w:sz w:val="28"/>
          <w:szCs w:val="28"/>
        </w:rPr>
        <w:t>二〇二</w:t>
      </w:r>
      <w:r>
        <w:rPr>
          <w:rFonts w:hint="eastAsia" w:cs="Cambria"/>
          <w:b/>
          <w:bCs/>
          <w:sz w:val="28"/>
          <w:szCs w:val="28"/>
          <w:lang w:eastAsia="zh-CN"/>
        </w:rPr>
        <w:t>四</w:t>
      </w:r>
      <w:r>
        <w:rPr>
          <w:rFonts w:hint="eastAsia" w:eastAsia="Cambria" w:cs="Cambria"/>
          <w:b/>
          <w:bCs/>
          <w:sz w:val="28"/>
          <w:szCs w:val="28"/>
        </w:rPr>
        <w:t>年</w:t>
      </w:r>
      <w:r>
        <w:rPr>
          <w:rFonts w:hint="eastAsia" w:cs="Cambria"/>
          <w:b/>
          <w:bCs/>
          <w:sz w:val="28"/>
          <w:szCs w:val="28"/>
          <w:lang w:eastAsia="zh-CN"/>
        </w:rPr>
        <w:t>十</w:t>
      </w:r>
      <w:r>
        <w:rPr>
          <w:rFonts w:hint="eastAsia" w:eastAsia="Cambria" w:cs="Cambria"/>
          <w:b/>
          <w:bCs/>
          <w:sz w:val="28"/>
          <w:szCs w:val="28"/>
        </w:rPr>
        <w:t>月</w:t>
      </w:r>
    </w:p>
    <w:p w14:paraId="7FA28727">
      <w:pPr>
        <w:pStyle w:val="12"/>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rPr>
          <w:rFonts w:hint="eastAsia"/>
          <w:lang w:val="en" w:eastAsia="zh-CN"/>
        </w:rPr>
      </w:pPr>
      <w:r>
        <w:rPr>
          <w:rFonts w:hint="eastAsia" w:eastAsia="黑体"/>
          <w:sz w:val="36"/>
          <w:szCs w:val="24"/>
        </w:rPr>
        <w:br w:type="page"/>
      </w:r>
      <w:r>
        <w:rPr>
          <w:rFonts w:hint="eastAsia" w:eastAsia="黑体"/>
          <w:sz w:val="36"/>
          <w:szCs w:val="24"/>
          <w:lang w:val="en-US" w:eastAsia="zh-CN"/>
        </w:rPr>
        <w:t xml:space="preserve">  </w:t>
      </w:r>
      <w:r>
        <w:rPr>
          <w:rFonts w:hint="eastAsia"/>
          <w:lang w:val="en" w:eastAsia="zh-CN"/>
        </w:rPr>
        <w:t>本文件按照GB/T 1</w:t>
      </w:r>
      <w:r>
        <w:rPr>
          <w:rFonts w:hint="default"/>
          <w:lang w:val="en" w:eastAsia="zh-CN"/>
        </w:rPr>
        <w:t>.</w:t>
      </w:r>
      <w:r>
        <w:rPr>
          <w:rFonts w:hint="eastAsia"/>
          <w:lang w:val="en-US" w:eastAsia="zh-CN"/>
        </w:rPr>
        <w:t xml:space="preserve"> </w:t>
      </w:r>
      <w:r>
        <w:rPr>
          <w:rFonts w:hint="eastAsia"/>
          <w:lang w:val="en" w:eastAsia="zh-CN"/>
        </w:rPr>
        <w:t>1 — 2020《标准化工作导则  第1部分：标准化文件的结构和起草规则》的规定起草。</w:t>
      </w:r>
    </w:p>
    <w:p w14:paraId="081F9967">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本文件由山西省农业农村厅提出、组织实施和监督检查。</w:t>
      </w:r>
    </w:p>
    <w:p w14:paraId="24141AA1">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本文件由山西省市场监督管理局对标准的组织实施情况进行监督检查。</w:t>
      </w:r>
    </w:p>
    <w:p w14:paraId="4BDE0869">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 w:eastAsia="zh-CN"/>
        </w:rPr>
      </w:pPr>
      <w:r>
        <w:rPr>
          <w:rFonts w:hint="eastAsia"/>
          <w:lang w:val="en" w:eastAsia="zh-CN"/>
        </w:rPr>
        <w:t>本文件由山西省农业标准化技术委员会归口。</w:t>
      </w:r>
    </w:p>
    <w:p w14:paraId="7088BC5B">
      <w:pPr>
        <w:pStyle w:val="12"/>
        <w:keepNext w:val="0"/>
        <w:keepLines w:val="0"/>
        <w:pageBreakBefore w:val="0"/>
        <w:widowControl/>
        <w:kinsoku/>
        <w:wordWrap/>
        <w:overflowPunct/>
        <w:topLinePunct w:val="0"/>
        <w:autoSpaceDE w:val="0"/>
        <w:autoSpaceDN w:val="0"/>
        <w:bidi w:val="0"/>
        <w:adjustRightInd/>
        <w:snapToGrid/>
        <w:textAlignment w:val="auto"/>
        <w:rPr>
          <w:rFonts w:hint="default" w:ascii="宋体" w:hAnsi="宋体" w:eastAsia="宋体" w:cs="宋体"/>
          <w:spacing w:val="27"/>
          <w:sz w:val="18"/>
          <w:szCs w:val="18"/>
          <w:lang w:val="en-US" w:eastAsia="zh-CN"/>
        </w:rPr>
      </w:pPr>
      <w:r>
        <w:rPr>
          <w:rFonts w:hint="eastAsia"/>
          <w:lang w:val="en" w:eastAsia="zh-CN"/>
        </w:rPr>
        <w:t>本文件起草单位：山西省水产技术推广服务中心、</w:t>
      </w:r>
      <w:r>
        <w:rPr>
          <w:rFonts w:hint="eastAsia"/>
          <w:lang w:val="en-US" w:eastAsia="zh-CN"/>
        </w:rPr>
        <w:t>太原市动物防疫检疫中心、</w:t>
      </w:r>
      <w:r>
        <w:rPr>
          <w:rFonts w:hint="eastAsia" w:ascii="宋体" w:hAnsi="Times New Roman" w:eastAsia="宋体" w:cs="Times New Roman"/>
          <w:snapToGrid/>
          <w:color w:val="auto"/>
          <w:kern w:val="0"/>
          <w:sz w:val="21"/>
          <w:szCs w:val="20"/>
          <w:lang w:val="en" w:eastAsia="zh-CN" w:bidi="ar-SA"/>
        </w:rPr>
        <w:t>山西省检验检测中心畜牧与水产品检验</w:t>
      </w:r>
      <w:r>
        <w:rPr>
          <w:rFonts w:hint="eastAsia" w:ascii="宋体" w:hAnsi="Times New Roman" w:eastAsia="宋体" w:cs="Times New Roman"/>
          <w:snapToGrid/>
          <w:color w:val="auto"/>
          <w:kern w:val="0"/>
          <w:sz w:val="21"/>
          <w:szCs w:val="20"/>
          <w:lang w:val="en-US" w:eastAsia="zh-CN" w:bidi="ar-SA"/>
        </w:rPr>
        <w:t>技术</w:t>
      </w:r>
      <w:r>
        <w:rPr>
          <w:rFonts w:hint="eastAsia" w:ascii="宋体" w:hAnsi="Times New Roman" w:eastAsia="宋体" w:cs="Times New Roman"/>
          <w:snapToGrid/>
          <w:color w:val="auto"/>
          <w:kern w:val="0"/>
          <w:sz w:val="21"/>
          <w:szCs w:val="20"/>
          <w:lang w:val="en" w:eastAsia="zh-CN" w:bidi="ar-SA"/>
        </w:rPr>
        <w:t>研究所</w:t>
      </w:r>
      <w:r>
        <w:rPr>
          <w:rFonts w:hint="eastAsia" w:cs="Times New Roman"/>
          <w:snapToGrid/>
          <w:color w:val="auto"/>
          <w:kern w:val="0"/>
          <w:sz w:val="21"/>
          <w:szCs w:val="20"/>
          <w:lang w:val="en" w:eastAsia="zh-CN" w:bidi="ar-SA"/>
        </w:rPr>
        <w:t>。</w:t>
      </w:r>
    </w:p>
    <w:p w14:paraId="48290172">
      <w:pPr>
        <w:pStyle w:val="12"/>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 w:eastAsia="zh-CN"/>
        </w:rPr>
        <w:t>本文件主要起草人：</w:t>
      </w:r>
      <w:r>
        <w:rPr>
          <w:rFonts w:hint="eastAsia"/>
          <w:lang w:val="en-US" w:eastAsia="zh-CN"/>
        </w:rPr>
        <w:t>李晓东、史兰琴、武栋、柴炎、武斌、杨春娟、赵瑞亮、武欣、袁宏利、冯瑞、 连晋、景秀芳、侯晓蕾。</w:t>
      </w:r>
    </w:p>
    <w:p w14:paraId="382E8941">
      <w:pPr>
        <w:pStyle w:val="12"/>
        <w:rPr>
          <w:rFonts w:eastAsia="黑体"/>
          <w:color w:val="FF0000"/>
          <w:sz w:val="36"/>
          <w:szCs w:val="24"/>
        </w:rPr>
      </w:pPr>
    </w:p>
    <w:p w14:paraId="65AFC0C8">
      <w:pPr>
        <w:ind w:firstLine="0" w:firstLineChars="0"/>
        <w:jc w:val="center"/>
        <w:rPr>
          <w:rFonts w:eastAsia="黑体"/>
          <w:sz w:val="36"/>
          <w:szCs w:val="24"/>
        </w:rPr>
      </w:pPr>
    </w:p>
    <w:p w14:paraId="48C399CE">
      <w:pPr>
        <w:ind w:firstLine="0" w:firstLineChars="0"/>
        <w:jc w:val="center"/>
        <w:rPr>
          <w:sz w:val="36"/>
          <w:szCs w:val="32"/>
        </w:r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pPr>
    </w:p>
    <w:p w14:paraId="4B9910FF">
      <w:pPr>
        <w:spacing w:line="600" w:lineRule="exact"/>
        <w:ind w:right="17" w:firstLine="643" w:firstLineChars="200"/>
        <w:rPr>
          <w:rFonts w:hint="eastAsia" w:ascii="宋体" w:hAnsi="宋体" w:eastAsia="宋体" w:cs="宋体"/>
          <w:b/>
          <w:sz w:val="32"/>
          <w:szCs w:val="32"/>
          <w:lang w:eastAsia="zh-CN"/>
        </w:rPr>
      </w:pPr>
      <w:r>
        <w:rPr>
          <w:rFonts w:hint="eastAsia" w:ascii="宋体" w:hAnsi="宋体" w:cs="宋体"/>
          <w:b/>
          <w:sz w:val="32"/>
          <w:szCs w:val="32"/>
        </w:rPr>
        <w:t>一、工作</w:t>
      </w:r>
      <w:r>
        <w:rPr>
          <w:rFonts w:hint="eastAsia" w:ascii="宋体" w:hAnsi="宋体" w:cs="宋体"/>
          <w:b/>
          <w:sz w:val="32"/>
          <w:szCs w:val="32"/>
          <w:lang w:eastAsia="zh-CN"/>
        </w:rPr>
        <w:t>简况</w:t>
      </w:r>
    </w:p>
    <w:p w14:paraId="27E0BEEA">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（一）任务来源</w:t>
      </w:r>
    </w:p>
    <w:p w14:paraId="5E94A79E">
      <w:pPr>
        <w:pStyle w:val="2"/>
        <w:ind w:left="0" w:leftChars="0"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2023年6月,起草单位申报并由省农业标准化技术委员会组织专家评审立项,同年10月,山西省市场监督管理局《关于下达2023年度第七批山西省地方标准制修订项目计划的通知》（晋市监函[2023]351号），2023 年度第7批山西省地方标准制修订项目计划信息表：《莲鱼综合种养技术规范》项目编号2023-07311，序列号7-19-54-225。</w:t>
      </w:r>
    </w:p>
    <w:p w14:paraId="72BC44B7">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（二）起草单位和主要起草人</w:t>
      </w:r>
    </w:p>
    <w:p w14:paraId="7B9D09CF">
      <w:pPr>
        <w:pStyle w:val="12"/>
        <w:ind w:left="0" w:leftChars="0" w:firstLine="0" w:firstLineChars="0"/>
        <w:rPr>
          <w:rFonts w:hint="eastAsia" w:ascii="仿宋" w:hAnsi="仿宋" w:eastAsia="仿宋" w:cs="仿宋"/>
          <w:kern w:val="2"/>
          <w:sz w:val="32"/>
          <w:szCs w:val="32"/>
          <w:lang w:val="en" w:eastAsia="zh-CN" w:bidi="ar-SA"/>
        </w:rPr>
      </w:pPr>
      <w:r>
        <w:rPr>
          <w:rFonts w:hint="eastAsia" w:ascii="仿宋" w:hAnsi="仿宋" w:eastAsia="仿宋" w:cs="仿宋"/>
          <w:kern w:val="2"/>
          <w:sz w:val="32"/>
          <w:szCs w:val="32"/>
          <w:lang w:val="en-US" w:eastAsia="zh-CN" w:bidi="ar-SA"/>
        </w:rPr>
        <w:t>起草单位：</w:t>
      </w:r>
      <w:r>
        <w:rPr>
          <w:rFonts w:hint="eastAsia" w:ascii="仿宋" w:hAnsi="仿宋" w:eastAsia="仿宋" w:cs="仿宋"/>
          <w:kern w:val="2"/>
          <w:sz w:val="32"/>
          <w:szCs w:val="32"/>
          <w:lang w:val="en" w:eastAsia="zh-CN" w:bidi="ar-SA"/>
        </w:rPr>
        <w:t>山西省水产技术推广服务中心</w:t>
      </w:r>
    </w:p>
    <w:p w14:paraId="07FDA7B2">
      <w:pPr>
        <w:pStyle w:val="12"/>
        <w:ind w:left="0" w:leftChars="0" w:firstLine="0" w:firstLineChars="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太原市动物防疫检疫中心</w:t>
      </w:r>
    </w:p>
    <w:p w14:paraId="794FCD3F">
      <w:pPr>
        <w:ind w:left="2236" w:leftChars="760" w:hanging="640" w:hanging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 w:eastAsia="zh-CN" w:bidi="ar-SA"/>
        </w:rPr>
        <w:t>山西省检验检测中心（</w:t>
      </w:r>
      <w:r>
        <w:rPr>
          <w:rFonts w:hint="eastAsia" w:ascii="仿宋" w:hAnsi="仿宋" w:eastAsia="仿宋" w:cs="仿宋"/>
          <w:kern w:val="2"/>
          <w:sz w:val="32"/>
          <w:szCs w:val="32"/>
          <w:lang w:val="en-US" w:eastAsia="zh-CN" w:bidi="ar-SA"/>
        </w:rPr>
        <w:t>山西省标准计量技术研</w:t>
      </w:r>
    </w:p>
    <w:p w14:paraId="138E9C27">
      <w:pPr>
        <w:ind w:firstLine="1600" w:firstLineChars="500"/>
        <w:rPr>
          <w:rFonts w:hint="eastAsia" w:ascii="楷体_GB2312" w:hAnsi="宋体" w:eastAsia="楷体_GB2312"/>
          <w:b/>
          <w:sz w:val="32"/>
          <w:szCs w:val="32"/>
          <w:lang w:eastAsia="zh-CN"/>
        </w:rPr>
      </w:pPr>
      <w:r>
        <w:rPr>
          <w:rFonts w:hint="eastAsia" w:ascii="仿宋" w:hAnsi="仿宋" w:eastAsia="仿宋" w:cs="仿宋"/>
          <w:kern w:val="2"/>
          <w:sz w:val="32"/>
          <w:szCs w:val="32"/>
          <w:lang w:val="en-US" w:eastAsia="zh-CN" w:bidi="ar-SA"/>
        </w:rPr>
        <w:t>院</w:t>
      </w:r>
      <w:r>
        <w:rPr>
          <w:rFonts w:hint="eastAsia" w:ascii="仿宋" w:hAnsi="仿宋" w:eastAsia="仿宋" w:cs="仿宋"/>
          <w:kern w:val="2"/>
          <w:sz w:val="32"/>
          <w:szCs w:val="32"/>
          <w:lang w:val="en" w:eastAsia="zh-CN" w:bidi="ar-SA"/>
        </w:rPr>
        <w:t>）畜牧与水产品检验技术研究所</w:t>
      </w:r>
    </w:p>
    <w:p w14:paraId="605A8939">
      <w:pPr>
        <w:rPr>
          <w:rFonts w:hint="eastAsia" w:ascii="仿宋" w:hAnsi="仿宋" w:eastAsia="仿宋" w:cs="仿宋"/>
          <w:kern w:val="2"/>
          <w:sz w:val="32"/>
          <w:szCs w:val="32"/>
          <w:lang w:val="en" w:eastAsia="zh-CN" w:bidi="ar-SA"/>
        </w:rPr>
      </w:pPr>
      <w:r>
        <w:rPr>
          <w:rFonts w:hint="eastAsia" w:ascii="仿宋" w:hAnsi="仿宋" w:eastAsia="仿宋" w:cs="仿宋"/>
          <w:kern w:val="2"/>
          <w:sz w:val="32"/>
          <w:szCs w:val="32"/>
          <w:lang w:val="en" w:eastAsia="zh-CN" w:bidi="ar-SA"/>
        </w:rPr>
        <w:t>主要起草人信息表</w:t>
      </w:r>
    </w:p>
    <w:tbl>
      <w:tblPr>
        <w:tblStyle w:val="8"/>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925"/>
        <w:gridCol w:w="1825"/>
        <w:gridCol w:w="3417"/>
        <w:gridCol w:w="1687"/>
      </w:tblGrid>
      <w:tr w14:paraId="2F366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027F176C">
            <w:pPr>
              <w:spacing w:line="600" w:lineRule="exact"/>
              <w:ind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姓名</w:t>
            </w:r>
          </w:p>
        </w:tc>
        <w:tc>
          <w:tcPr>
            <w:tcW w:w="925" w:type="dxa"/>
          </w:tcPr>
          <w:p w14:paraId="416CEA72">
            <w:pPr>
              <w:spacing w:line="600" w:lineRule="exact"/>
              <w:ind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性别</w:t>
            </w:r>
          </w:p>
        </w:tc>
        <w:tc>
          <w:tcPr>
            <w:tcW w:w="1825" w:type="dxa"/>
          </w:tcPr>
          <w:p w14:paraId="548B9EF6">
            <w:pPr>
              <w:spacing w:line="600" w:lineRule="exact"/>
              <w:ind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职务</w:t>
            </w:r>
            <w:r>
              <w:rPr>
                <w:rFonts w:hint="eastAsia" w:ascii="楷体_GB2312" w:hAnsi="宋体" w:eastAsia="楷体_GB2312"/>
                <w:b/>
                <w:sz w:val="28"/>
                <w:szCs w:val="28"/>
                <w:vertAlign w:val="baseline"/>
                <w:lang w:val="en-US" w:eastAsia="zh-CN"/>
              </w:rPr>
              <w:t>/</w:t>
            </w:r>
            <w:r>
              <w:rPr>
                <w:rFonts w:hint="eastAsia" w:ascii="楷体_GB2312" w:hAnsi="宋体" w:eastAsia="楷体_GB2312"/>
                <w:b/>
                <w:sz w:val="28"/>
                <w:szCs w:val="28"/>
                <w:vertAlign w:val="baseline"/>
                <w:lang w:eastAsia="zh-CN"/>
              </w:rPr>
              <w:t>职称</w:t>
            </w:r>
          </w:p>
        </w:tc>
        <w:tc>
          <w:tcPr>
            <w:tcW w:w="3417" w:type="dxa"/>
          </w:tcPr>
          <w:p w14:paraId="106252BB">
            <w:pPr>
              <w:spacing w:line="600" w:lineRule="exact"/>
              <w:ind w:right="17"/>
              <w:jc w:val="center"/>
              <w:rPr>
                <w:rFonts w:hint="default" w:ascii="楷体_GB2312" w:hAnsi="宋体" w:eastAsia="楷体_GB2312"/>
                <w:b/>
                <w:sz w:val="28"/>
                <w:szCs w:val="28"/>
                <w:vertAlign w:val="baseline"/>
                <w:lang w:val="en-US" w:eastAsia="zh-CN"/>
              </w:rPr>
            </w:pPr>
            <w:r>
              <w:rPr>
                <w:rFonts w:hint="eastAsia" w:ascii="楷体_GB2312" w:hAnsi="宋体" w:eastAsia="楷体_GB2312"/>
                <w:b/>
                <w:sz w:val="28"/>
                <w:szCs w:val="28"/>
                <w:vertAlign w:val="baseline"/>
                <w:lang w:val="en-US" w:eastAsia="zh-CN"/>
              </w:rPr>
              <w:t>工作单位</w:t>
            </w:r>
          </w:p>
        </w:tc>
        <w:tc>
          <w:tcPr>
            <w:tcW w:w="1687" w:type="dxa"/>
          </w:tcPr>
          <w:p w14:paraId="5B5C82DE">
            <w:pPr>
              <w:spacing w:line="600" w:lineRule="exact"/>
              <w:ind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任务分工</w:t>
            </w:r>
          </w:p>
        </w:tc>
      </w:tr>
      <w:tr w14:paraId="462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104F05E8">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李晓东</w:t>
            </w:r>
          </w:p>
        </w:tc>
        <w:tc>
          <w:tcPr>
            <w:tcW w:w="925" w:type="dxa"/>
          </w:tcPr>
          <w:p w14:paraId="1C69EB22">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男</w:t>
            </w:r>
          </w:p>
        </w:tc>
        <w:tc>
          <w:tcPr>
            <w:tcW w:w="1825" w:type="dxa"/>
          </w:tcPr>
          <w:p w14:paraId="668426C5">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高级工程师</w:t>
            </w:r>
          </w:p>
        </w:tc>
        <w:tc>
          <w:tcPr>
            <w:tcW w:w="3417" w:type="dxa"/>
          </w:tcPr>
          <w:p w14:paraId="5E21A66D">
            <w:pPr>
              <w:spacing w:line="600" w:lineRule="exact"/>
              <w:ind w:right="17"/>
              <w:jc w:val="both"/>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tcPr>
          <w:p w14:paraId="00257979">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75183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17D73981">
            <w:pPr>
              <w:spacing w:line="600" w:lineRule="exact"/>
              <w:ind w:right="17"/>
              <w:jc w:val="center"/>
              <w:rPr>
                <w:rFonts w:hint="default"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val="en-US" w:eastAsia="zh-CN"/>
              </w:rPr>
              <w:t>史兰琴</w:t>
            </w:r>
          </w:p>
        </w:tc>
        <w:tc>
          <w:tcPr>
            <w:tcW w:w="925" w:type="dxa"/>
          </w:tcPr>
          <w:p w14:paraId="0AF9C3D1">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女</w:t>
            </w:r>
          </w:p>
        </w:tc>
        <w:tc>
          <w:tcPr>
            <w:tcW w:w="1825" w:type="dxa"/>
          </w:tcPr>
          <w:p w14:paraId="1D8A9142">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工程师</w:t>
            </w:r>
          </w:p>
        </w:tc>
        <w:tc>
          <w:tcPr>
            <w:tcW w:w="3417" w:type="dxa"/>
          </w:tcPr>
          <w:p w14:paraId="62C4D62E">
            <w:pPr>
              <w:spacing w:line="600" w:lineRule="exact"/>
              <w:ind w:right="17"/>
              <w:jc w:val="both"/>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太原市动物防疫检疫中心</w:t>
            </w:r>
          </w:p>
        </w:tc>
        <w:tc>
          <w:tcPr>
            <w:tcW w:w="1687" w:type="dxa"/>
          </w:tcPr>
          <w:p w14:paraId="3700EAC1">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4DF1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1BE5491C">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武</w:t>
            </w:r>
            <w:r>
              <w:rPr>
                <w:rFonts w:hint="eastAsia" w:ascii="楷体_GB2312" w:hAnsi="宋体" w:eastAsia="楷体_GB2312"/>
                <w:b/>
                <w:sz w:val="24"/>
                <w:szCs w:val="24"/>
                <w:vertAlign w:val="baseline"/>
                <w:lang w:val="en-US" w:eastAsia="zh-CN"/>
              </w:rPr>
              <w:t xml:space="preserve">  </w:t>
            </w:r>
            <w:r>
              <w:rPr>
                <w:rFonts w:hint="eastAsia" w:ascii="楷体_GB2312" w:hAnsi="宋体" w:eastAsia="楷体_GB2312"/>
                <w:b/>
                <w:sz w:val="24"/>
                <w:szCs w:val="24"/>
                <w:vertAlign w:val="baseline"/>
                <w:lang w:eastAsia="zh-CN"/>
              </w:rPr>
              <w:t>栋</w:t>
            </w:r>
          </w:p>
        </w:tc>
        <w:tc>
          <w:tcPr>
            <w:tcW w:w="925" w:type="dxa"/>
          </w:tcPr>
          <w:p w14:paraId="47767F63">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男</w:t>
            </w:r>
          </w:p>
        </w:tc>
        <w:tc>
          <w:tcPr>
            <w:tcW w:w="1825" w:type="dxa"/>
          </w:tcPr>
          <w:p w14:paraId="2C31F22C">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高级工程师</w:t>
            </w:r>
          </w:p>
        </w:tc>
        <w:tc>
          <w:tcPr>
            <w:tcW w:w="3417" w:type="dxa"/>
          </w:tcPr>
          <w:p w14:paraId="4C02F054">
            <w:pPr>
              <w:keepNext w:val="0"/>
              <w:keepLines w:val="0"/>
              <w:pageBreakBefore w:val="0"/>
              <w:widowControl w:val="0"/>
              <w:kinsoku/>
              <w:wordWrap/>
              <w:overflowPunct/>
              <w:topLinePunct w:val="0"/>
              <w:autoSpaceDE/>
              <w:autoSpaceDN/>
              <w:bidi w:val="0"/>
              <w:adjustRightInd/>
              <w:snapToGrid/>
              <w:spacing w:line="280" w:lineRule="exact"/>
              <w:ind w:right="17"/>
              <w:jc w:val="both"/>
              <w:textAlignment w:val="auto"/>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 w:eastAsia="zh-CN"/>
              </w:rPr>
              <w:t>山西省检验检测中心畜牧与水产品检验技术研究所</w:t>
            </w:r>
          </w:p>
        </w:tc>
        <w:tc>
          <w:tcPr>
            <w:tcW w:w="1687" w:type="dxa"/>
          </w:tcPr>
          <w:p w14:paraId="28A13A98">
            <w:pPr>
              <w:spacing w:line="600" w:lineRule="exact"/>
              <w:ind w:right="17"/>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5178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shd w:val="clear" w:color="auto" w:fill="auto"/>
            <w:vAlign w:val="top"/>
          </w:tcPr>
          <w:p w14:paraId="29CB501F">
            <w:pPr>
              <w:spacing w:line="600" w:lineRule="exact"/>
              <w:ind w:right="17" w:rightChars="0"/>
              <w:jc w:val="center"/>
              <w:rPr>
                <w:rFonts w:hint="eastAsia" w:ascii="楷体_GB2312" w:hAnsi="宋体" w:eastAsia="楷体_GB2312" w:cs="Times New Roman"/>
                <w:b/>
                <w:kern w:val="2"/>
                <w:sz w:val="24"/>
                <w:szCs w:val="24"/>
                <w:vertAlign w:val="baseline"/>
                <w:lang w:val="en-US" w:eastAsia="zh-CN" w:bidi="ar-SA"/>
              </w:rPr>
            </w:pPr>
            <w:r>
              <w:rPr>
                <w:rFonts w:hint="eastAsia" w:ascii="楷体_GB2312" w:hAnsi="宋体" w:eastAsia="楷体_GB2312"/>
                <w:b/>
                <w:sz w:val="24"/>
                <w:szCs w:val="24"/>
                <w:vertAlign w:val="baseline"/>
                <w:lang w:eastAsia="zh-CN"/>
              </w:rPr>
              <w:t>柴</w:t>
            </w:r>
            <w:r>
              <w:rPr>
                <w:rFonts w:hint="eastAsia" w:ascii="楷体_GB2312" w:hAnsi="宋体" w:eastAsia="楷体_GB2312"/>
                <w:b/>
                <w:sz w:val="24"/>
                <w:szCs w:val="24"/>
                <w:vertAlign w:val="baseline"/>
                <w:lang w:val="en-US" w:eastAsia="zh-CN"/>
              </w:rPr>
              <w:t xml:space="preserve">  炎</w:t>
            </w:r>
          </w:p>
        </w:tc>
        <w:tc>
          <w:tcPr>
            <w:tcW w:w="925" w:type="dxa"/>
            <w:shd w:val="clear" w:color="auto" w:fill="auto"/>
            <w:vAlign w:val="top"/>
          </w:tcPr>
          <w:p w14:paraId="61263D6B">
            <w:pPr>
              <w:spacing w:line="600" w:lineRule="exact"/>
              <w:ind w:right="17" w:rightChars="0"/>
              <w:jc w:val="center"/>
              <w:rPr>
                <w:rFonts w:hint="eastAsia" w:ascii="楷体_GB2312" w:hAnsi="宋体" w:eastAsia="楷体_GB2312" w:cs="Times New Roman"/>
                <w:b/>
                <w:kern w:val="2"/>
                <w:sz w:val="24"/>
                <w:szCs w:val="24"/>
                <w:vertAlign w:val="baseline"/>
                <w:lang w:val="en-US" w:eastAsia="zh-CN" w:bidi="ar-SA"/>
              </w:rPr>
            </w:pPr>
            <w:r>
              <w:rPr>
                <w:rFonts w:hint="eastAsia" w:ascii="楷体_GB2312" w:hAnsi="宋体" w:eastAsia="楷体_GB2312"/>
                <w:b/>
                <w:sz w:val="24"/>
                <w:szCs w:val="24"/>
                <w:vertAlign w:val="baseline"/>
                <w:lang w:eastAsia="zh-CN"/>
              </w:rPr>
              <w:t>男</w:t>
            </w:r>
          </w:p>
        </w:tc>
        <w:tc>
          <w:tcPr>
            <w:tcW w:w="1825" w:type="dxa"/>
            <w:shd w:val="clear" w:color="auto" w:fill="auto"/>
            <w:vAlign w:val="top"/>
          </w:tcPr>
          <w:p w14:paraId="7A4CC7A3">
            <w:pPr>
              <w:spacing w:line="600" w:lineRule="exact"/>
              <w:ind w:right="17" w:rightChars="0"/>
              <w:jc w:val="center"/>
              <w:rPr>
                <w:rFonts w:hint="eastAsia" w:ascii="楷体_GB2312" w:hAnsi="宋体" w:eastAsia="楷体_GB2312" w:cs="Times New Roman"/>
                <w:b/>
                <w:kern w:val="2"/>
                <w:sz w:val="24"/>
                <w:szCs w:val="24"/>
                <w:vertAlign w:val="baseline"/>
                <w:lang w:val="en-US" w:eastAsia="zh-CN" w:bidi="ar-SA"/>
              </w:rPr>
            </w:pPr>
            <w:r>
              <w:rPr>
                <w:rFonts w:hint="eastAsia" w:ascii="楷体_GB2312" w:hAnsi="宋体" w:eastAsia="楷体_GB2312"/>
                <w:b/>
                <w:sz w:val="24"/>
                <w:szCs w:val="24"/>
                <w:vertAlign w:val="baseline"/>
                <w:lang w:eastAsia="zh-CN"/>
              </w:rPr>
              <w:t>正高级畜牧师</w:t>
            </w:r>
          </w:p>
        </w:tc>
        <w:tc>
          <w:tcPr>
            <w:tcW w:w="3417" w:type="dxa"/>
            <w:shd w:val="clear" w:color="auto" w:fill="auto"/>
            <w:vAlign w:val="top"/>
          </w:tcPr>
          <w:p w14:paraId="484EDFD5">
            <w:pPr>
              <w:spacing w:line="600" w:lineRule="exact"/>
              <w:ind w:right="17" w:rightChars="0"/>
              <w:jc w:val="both"/>
              <w:rPr>
                <w:rFonts w:hint="eastAsia" w:ascii="楷体_GB2312" w:hAnsi="宋体" w:eastAsia="楷体_GB2312" w:cs="Times New Roman"/>
                <w:b/>
                <w:kern w:val="2"/>
                <w:sz w:val="24"/>
                <w:szCs w:val="24"/>
                <w:vertAlign w:val="baseline"/>
                <w:lang w:val="en" w:eastAsia="zh-CN" w:bidi="ar-SA"/>
              </w:rPr>
            </w:pPr>
            <w:r>
              <w:rPr>
                <w:rFonts w:hint="eastAsia" w:ascii="楷体_GB2312" w:hAnsi="宋体" w:eastAsia="楷体_GB2312"/>
                <w:b/>
                <w:sz w:val="24"/>
                <w:szCs w:val="24"/>
                <w:vertAlign w:val="baseline"/>
                <w:lang w:val="en" w:eastAsia="zh-CN"/>
              </w:rPr>
              <w:t>山西省水产技术推广服务中心</w:t>
            </w:r>
          </w:p>
        </w:tc>
        <w:tc>
          <w:tcPr>
            <w:tcW w:w="1687" w:type="dxa"/>
            <w:shd w:val="clear" w:color="auto" w:fill="auto"/>
            <w:vAlign w:val="top"/>
          </w:tcPr>
          <w:p w14:paraId="618EDE59">
            <w:pPr>
              <w:spacing w:line="600" w:lineRule="exact"/>
              <w:ind w:right="17" w:rightChars="0"/>
              <w:jc w:val="center"/>
              <w:rPr>
                <w:rFonts w:hint="eastAsia" w:ascii="楷体_GB2312" w:hAnsi="宋体" w:eastAsia="楷体_GB2312" w:cs="Times New Roman"/>
                <w:b/>
                <w:kern w:val="2"/>
                <w:sz w:val="24"/>
                <w:szCs w:val="24"/>
                <w:vertAlign w:val="baseline"/>
                <w:lang w:val="en-US" w:eastAsia="zh-CN" w:bidi="ar-SA"/>
              </w:rPr>
            </w:pPr>
            <w:r>
              <w:rPr>
                <w:rFonts w:hint="eastAsia" w:ascii="楷体_GB2312" w:hAnsi="宋体" w:eastAsia="楷体_GB2312"/>
                <w:b/>
                <w:sz w:val="24"/>
                <w:szCs w:val="24"/>
                <w:vertAlign w:val="baseline"/>
                <w:lang w:eastAsia="zh-CN"/>
              </w:rPr>
              <w:t>标准起草制定</w:t>
            </w:r>
          </w:p>
        </w:tc>
      </w:tr>
      <w:tr w14:paraId="4F99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20D130CB">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武  斌</w:t>
            </w:r>
          </w:p>
        </w:tc>
        <w:tc>
          <w:tcPr>
            <w:tcW w:w="925" w:type="dxa"/>
            <w:shd w:val="clear" w:color="auto" w:fill="auto"/>
            <w:vAlign w:val="top"/>
          </w:tcPr>
          <w:p w14:paraId="5652BC70">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男</w:t>
            </w:r>
          </w:p>
        </w:tc>
        <w:tc>
          <w:tcPr>
            <w:tcW w:w="1825" w:type="dxa"/>
          </w:tcPr>
          <w:p w14:paraId="24558902">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工程师</w:t>
            </w:r>
          </w:p>
        </w:tc>
        <w:tc>
          <w:tcPr>
            <w:tcW w:w="3417" w:type="dxa"/>
            <w:vAlign w:val="top"/>
          </w:tcPr>
          <w:p w14:paraId="7D4F6B49">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3283B216">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76A4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35F73283">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杨春娟</w:t>
            </w:r>
          </w:p>
        </w:tc>
        <w:tc>
          <w:tcPr>
            <w:tcW w:w="925" w:type="dxa"/>
            <w:shd w:val="clear" w:color="auto" w:fill="auto"/>
            <w:vAlign w:val="top"/>
          </w:tcPr>
          <w:p w14:paraId="4826FFB0">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女</w:t>
            </w:r>
          </w:p>
        </w:tc>
        <w:tc>
          <w:tcPr>
            <w:tcW w:w="1825" w:type="dxa"/>
          </w:tcPr>
          <w:p w14:paraId="3D16021B">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工程师</w:t>
            </w:r>
          </w:p>
        </w:tc>
        <w:tc>
          <w:tcPr>
            <w:tcW w:w="3417" w:type="dxa"/>
            <w:vAlign w:val="top"/>
          </w:tcPr>
          <w:p w14:paraId="385B1A5A">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18734962">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6D881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5E956F70">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赵瑞亮</w:t>
            </w:r>
          </w:p>
        </w:tc>
        <w:tc>
          <w:tcPr>
            <w:tcW w:w="925" w:type="dxa"/>
            <w:shd w:val="clear" w:color="auto" w:fill="auto"/>
            <w:vAlign w:val="top"/>
          </w:tcPr>
          <w:p w14:paraId="6B6CF45B">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男</w:t>
            </w:r>
          </w:p>
        </w:tc>
        <w:tc>
          <w:tcPr>
            <w:tcW w:w="1825" w:type="dxa"/>
          </w:tcPr>
          <w:p w14:paraId="79A214BD">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高级工程师</w:t>
            </w:r>
          </w:p>
        </w:tc>
        <w:tc>
          <w:tcPr>
            <w:tcW w:w="3417" w:type="dxa"/>
            <w:vAlign w:val="top"/>
          </w:tcPr>
          <w:p w14:paraId="064F1B8D">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580F2731">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0F4E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56D937C5">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武  欣</w:t>
            </w:r>
          </w:p>
        </w:tc>
        <w:tc>
          <w:tcPr>
            <w:tcW w:w="925" w:type="dxa"/>
            <w:shd w:val="clear" w:color="auto" w:fill="auto"/>
            <w:vAlign w:val="top"/>
          </w:tcPr>
          <w:p w14:paraId="7E6EED38">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女</w:t>
            </w:r>
          </w:p>
        </w:tc>
        <w:tc>
          <w:tcPr>
            <w:tcW w:w="1825" w:type="dxa"/>
          </w:tcPr>
          <w:p w14:paraId="0E8C8B72">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工程师</w:t>
            </w:r>
          </w:p>
        </w:tc>
        <w:tc>
          <w:tcPr>
            <w:tcW w:w="3417" w:type="dxa"/>
            <w:vAlign w:val="top"/>
          </w:tcPr>
          <w:p w14:paraId="2EC1D0B1">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104493C6">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3D0E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7240A9A5">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袁宏利</w:t>
            </w:r>
          </w:p>
        </w:tc>
        <w:tc>
          <w:tcPr>
            <w:tcW w:w="925" w:type="dxa"/>
            <w:shd w:val="clear" w:color="auto" w:fill="auto"/>
            <w:vAlign w:val="top"/>
          </w:tcPr>
          <w:p w14:paraId="14C020ED">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男</w:t>
            </w:r>
          </w:p>
        </w:tc>
        <w:tc>
          <w:tcPr>
            <w:tcW w:w="1825" w:type="dxa"/>
          </w:tcPr>
          <w:p w14:paraId="53F585E6">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高级工程师</w:t>
            </w:r>
          </w:p>
        </w:tc>
        <w:tc>
          <w:tcPr>
            <w:tcW w:w="3417" w:type="dxa"/>
            <w:vAlign w:val="top"/>
          </w:tcPr>
          <w:p w14:paraId="5219D8A9">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67EB0ABD">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3B376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297FF27F">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冯  瑞</w:t>
            </w:r>
          </w:p>
        </w:tc>
        <w:tc>
          <w:tcPr>
            <w:tcW w:w="925" w:type="dxa"/>
            <w:shd w:val="clear" w:color="auto" w:fill="auto"/>
            <w:vAlign w:val="top"/>
          </w:tcPr>
          <w:p w14:paraId="1D24D434">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女</w:t>
            </w:r>
          </w:p>
        </w:tc>
        <w:tc>
          <w:tcPr>
            <w:tcW w:w="1825" w:type="dxa"/>
          </w:tcPr>
          <w:p w14:paraId="0C11EC7F">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高级工程师</w:t>
            </w:r>
          </w:p>
        </w:tc>
        <w:tc>
          <w:tcPr>
            <w:tcW w:w="3417" w:type="dxa"/>
            <w:vAlign w:val="top"/>
          </w:tcPr>
          <w:p w14:paraId="40465FB7">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026E5813">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033F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3F245F17">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 xml:space="preserve"> 连  晋</w:t>
            </w:r>
          </w:p>
        </w:tc>
        <w:tc>
          <w:tcPr>
            <w:tcW w:w="925" w:type="dxa"/>
            <w:shd w:val="clear" w:color="auto" w:fill="auto"/>
            <w:vAlign w:val="top"/>
          </w:tcPr>
          <w:p w14:paraId="083854A6">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eastAsia="zh-CN"/>
              </w:rPr>
              <w:t>男</w:t>
            </w:r>
          </w:p>
        </w:tc>
        <w:tc>
          <w:tcPr>
            <w:tcW w:w="1825" w:type="dxa"/>
          </w:tcPr>
          <w:p w14:paraId="114B1275">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正高级工程师</w:t>
            </w:r>
          </w:p>
        </w:tc>
        <w:tc>
          <w:tcPr>
            <w:tcW w:w="3417" w:type="dxa"/>
            <w:vAlign w:val="top"/>
          </w:tcPr>
          <w:p w14:paraId="64AC15EC">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5363626C">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3258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03C57774">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景秀芳</w:t>
            </w:r>
          </w:p>
        </w:tc>
        <w:tc>
          <w:tcPr>
            <w:tcW w:w="925" w:type="dxa"/>
            <w:shd w:val="clear" w:color="auto" w:fill="auto"/>
            <w:vAlign w:val="top"/>
          </w:tcPr>
          <w:p w14:paraId="3DE0F11A">
            <w:pPr>
              <w:spacing w:line="600" w:lineRule="exact"/>
              <w:ind w:right="17" w:rightChars="0"/>
              <w:jc w:val="center"/>
              <w:rPr>
                <w:rFonts w:hint="eastAsia" w:ascii="楷体_GB2312" w:hAnsi="宋体" w:eastAsia="楷体_GB2312"/>
                <w:b/>
                <w:sz w:val="24"/>
                <w:szCs w:val="24"/>
                <w:vertAlign w:val="baseline"/>
                <w:lang w:val="en-US" w:eastAsia="zh-CN"/>
              </w:rPr>
            </w:pPr>
            <w:r>
              <w:rPr>
                <w:rFonts w:hint="eastAsia" w:ascii="楷体_GB2312" w:hAnsi="宋体" w:eastAsia="楷体_GB2312"/>
                <w:b/>
                <w:sz w:val="24"/>
                <w:szCs w:val="24"/>
                <w:vertAlign w:val="baseline"/>
                <w:lang w:val="en-US" w:eastAsia="zh-CN"/>
              </w:rPr>
              <w:t>女</w:t>
            </w:r>
          </w:p>
        </w:tc>
        <w:tc>
          <w:tcPr>
            <w:tcW w:w="1825" w:type="dxa"/>
          </w:tcPr>
          <w:p w14:paraId="4B5705F0">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畜牧师</w:t>
            </w:r>
          </w:p>
        </w:tc>
        <w:tc>
          <w:tcPr>
            <w:tcW w:w="3417" w:type="dxa"/>
            <w:vAlign w:val="top"/>
          </w:tcPr>
          <w:p w14:paraId="37CEAB2B">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0E8EACBF">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r w14:paraId="4661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7AB6BC5E">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val="en-US" w:eastAsia="zh-CN"/>
              </w:rPr>
              <w:t>侯晓蕾</w:t>
            </w:r>
          </w:p>
        </w:tc>
        <w:tc>
          <w:tcPr>
            <w:tcW w:w="925" w:type="dxa"/>
          </w:tcPr>
          <w:p w14:paraId="01FBF891">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女</w:t>
            </w:r>
          </w:p>
        </w:tc>
        <w:tc>
          <w:tcPr>
            <w:tcW w:w="1825" w:type="dxa"/>
          </w:tcPr>
          <w:p w14:paraId="3BBD4AEA">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高级工程师</w:t>
            </w:r>
          </w:p>
        </w:tc>
        <w:tc>
          <w:tcPr>
            <w:tcW w:w="3417" w:type="dxa"/>
            <w:vAlign w:val="top"/>
          </w:tcPr>
          <w:p w14:paraId="1BA5CEFB">
            <w:pPr>
              <w:spacing w:line="600" w:lineRule="exact"/>
              <w:ind w:right="17" w:rightChars="0"/>
              <w:jc w:val="center"/>
              <w:rPr>
                <w:rFonts w:hint="eastAsia" w:ascii="楷体_GB2312" w:hAnsi="宋体" w:eastAsia="楷体_GB2312"/>
                <w:b/>
                <w:sz w:val="24"/>
                <w:szCs w:val="24"/>
                <w:vertAlign w:val="baseline"/>
                <w:lang w:val="en" w:eastAsia="zh-CN"/>
              </w:rPr>
            </w:pPr>
            <w:r>
              <w:rPr>
                <w:rFonts w:hint="eastAsia" w:ascii="楷体_GB2312" w:hAnsi="宋体" w:eastAsia="楷体_GB2312"/>
                <w:b/>
                <w:sz w:val="24"/>
                <w:szCs w:val="24"/>
                <w:vertAlign w:val="baseline"/>
                <w:lang w:val="en" w:eastAsia="zh-CN"/>
              </w:rPr>
              <w:t>山西省水产技术推广服务中心</w:t>
            </w:r>
          </w:p>
        </w:tc>
        <w:tc>
          <w:tcPr>
            <w:tcW w:w="1687" w:type="dxa"/>
            <w:vAlign w:val="top"/>
          </w:tcPr>
          <w:p w14:paraId="41E5039B">
            <w:pPr>
              <w:spacing w:line="600" w:lineRule="exact"/>
              <w:ind w:right="17" w:rightChars="0"/>
              <w:jc w:val="center"/>
              <w:rPr>
                <w:rFonts w:hint="eastAsia" w:ascii="楷体_GB2312" w:hAnsi="宋体" w:eastAsia="楷体_GB2312"/>
                <w:b/>
                <w:sz w:val="24"/>
                <w:szCs w:val="24"/>
                <w:vertAlign w:val="baseline"/>
                <w:lang w:eastAsia="zh-CN"/>
              </w:rPr>
            </w:pPr>
            <w:r>
              <w:rPr>
                <w:rFonts w:hint="eastAsia" w:ascii="楷体_GB2312" w:hAnsi="宋体" w:eastAsia="楷体_GB2312"/>
                <w:b/>
                <w:sz w:val="24"/>
                <w:szCs w:val="24"/>
                <w:vertAlign w:val="baseline"/>
                <w:lang w:eastAsia="zh-CN"/>
              </w:rPr>
              <w:t>标准起草制定</w:t>
            </w:r>
          </w:p>
        </w:tc>
      </w:tr>
    </w:tbl>
    <w:p w14:paraId="12EEB84A">
      <w:pPr>
        <w:spacing w:line="600" w:lineRule="exact"/>
        <w:ind w:right="17" w:firstLine="1084" w:firstLineChars="450"/>
        <w:rPr>
          <w:rFonts w:hint="eastAsia" w:ascii="楷体_GB2312" w:hAnsi="宋体" w:eastAsia="楷体_GB2312"/>
          <w:b/>
          <w:sz w:val="24"/>
          <w:szCs w:val="24"/>
          <w:lang w:eastAsia="zh-CN"/>
        </w:rPr>
      </w:pPr>
    </w:p>
    <w:p w14:paraId="0BE2A72A">
      <w:pPr>
        <w:numPr>
          <w:ilvl w:val="0"/>
          <w:numId w:val="1"/>
        </w:numPr>
        <w:spacing w:line="360" w:lineRule="auto"/>
        <w:ind w:firstLine="630" w:firstLineChars="196"/>
        <w:rPr>
          <w:rFonts w:hint="eastAsia" w:ascii="宋体" w:hAnsi="宋体" w:cs="Times New Roman"/>
          <w:b/>
          <w:sz w:val="32"/>
          <w:szCs w:val="32"/>
          <w:lang w:eastAsia="zh-CN"/>
        </w:rPr>
      </w:pPr>
      <w:r>
        <w:rPr>
          <w:rFonts w:hint="eastAsia" w:ascii="宋体" w:hAnsi="宋体" w:cs="Times New Roman"/>
          <w:b/>
          <w:sz w:val="32"/>
          <w:szCs w:val="32"/>
          <w:lang w:eastAsia="zh-CN"/>
        </w:rPr>
        <w:t>制定标准的必要性和意义</w:t>
      </w:r>
    </w:p>
    <w:p w14:paraId="446335C9">
      <w:pPr>
        <w:numPr>
          <w:ilvl w:val="0"/>
          <w:numId w:val="0"/>
        </w:numPr>
        <w:spacing w:line="360" w:lineRule="auto"/>
        <w:ind w:firstLine="643" w:firstLineChars="200"/>
        <w:rPr>
          <w:rFonts w:hint="eastAsia" w:ascii="仿宋" w:hAnsi="仿宋" w:eastAsia="仿宋" w:cs="仿宋"/>
          <w:sz w:val="32"/>
          <w:szCs w:val="32"/>
          <w:lang w:val="en-US" w:eastAsia="zh-CN"/>
        </w:rPr>
      </w:pPr>
      <w:r>
        <w:rPr>
          <w:rFonts w:hint="eastAsia" w:ascii="宋体" w:hAnsi="宋体"/>
          <w:b/>
          <w:sz w:val="32"/>
          <w:szCs w:val="32"/>
          <w:lang w:eastAsia="zh-CN"/>
        </w:rPr>
        <w:t>必要性：</w:t>
      </w:r>
      <w:r>
        <w:rPr>
          <w:rFonts w:hint="eastAsia" w:ascii="仿宋" w:hAnsi="仿宋" w:eastAsia="仿宋" w:cs="仿宋"/>
          <w:sz w:val="32"/>
          <w:szCs w:val="32"/>
          <w:lang w:val="en-US" w:eastAsia="zh-CN"/>
        </w:rPr>
        <w:t>莲田作为重要的渔业水域资源，通过在莲田水域内种藕、养鱼，一水二用这在我国农业生产中由来已久，有着悠久的历史，这种生产模式既可以生产出有机绿色的莲藕又可以收获优质的水产品。现阶段这一传统的种养模式尤为符合我国当今的产业发展政策，因而成为农业农村部重点扶持的产业模式。2019年农业农村部等十部委印发了《关于加快推进水产养殖绿色发展的若干意见》（农渔发[2019]1号），《意见》提出：“科学拓展养殖空间，大力推广稻（莲）渔综合种养，提高稻（莲）田综合效益，实现稳粮促渔、提质增效”。2021年山西省人民政府办公厅印发的《山西省养殖水域滩涂规划（2021-2030年）》（晋政办发[2021]29号）及2021年山西省农业农村厅发布的《山西省渔业“十四五”发展规划》中提出，我省要科学拓展水产养殖空间，充分利用传统的莲（稻）田资源，加强莲（稻）渔综合种养生态工程建设，加大莲（稻）田渔综合种养技术推广力度。</w:t>
      </w:r>
    </w:p>
    <w:p w14:paraId="4ACD6C9D">
      <w:pPr>
        <w:keepNext w:val="0"/>
        <w:keepLines w:val="0"/>
        <w:widowControl/>
        <w:suppressLineNumbers w:val="0"/>
        <w:ind w:firstLine="643" w:firstLineChars="200"/>
        <w:jc w:val="both"/>
        <w:rPr>
          <w:rFonts w:hint="eastAsia"/>
          <w:lang w:eastAsia="zh-CN"/>
        </w:rPr>
      </w:pPr>
      <w:r>
        <w:rPr>
          <w:rFonts w:hint="eastAsia" w:ascii="宋体" w:hAnsi="宋体"/>
          <w:b/>
          <w:sz w:val="32"/>
          <w:szCs w:val="32"/>
          <w:lang w:eastAsia="zh-CN"/>
        </w:rPr>
        <w:t>意义：</w:t>
      </w:r>
      <w:r>
        <w:rPr>
          <w:rFonts w:hint="eastAsia" w:ascii="仿宋" w:hAnsi="仿宋" w:eastAsia="仿宋" w:cs="仿宋"/>
          <w:sz w:val="32"/>
          <w:szCs w:val="32"/>
          <w:lang w:val="en-US" w:eastAsia="zh-CN"/>
        </w:rPr>
        <w:t>经过几十年来的发展，渔业在一些地区已成为我省农业的一个重要的特色产业，在健全区域农业产业结构、增加农民收入、优化资源利用、改善生态环境等方面发挥着越来越重要的作用。受资源等因素的制约，我省渔业发展空间受限的问题越来越明显，如何开发现有各类水面资源，拓展渔业空间，开展生态绿色养殖，进一步发挥渔业在保障食品安全、促进区域农业农村发展、增加农民收入、改善生态环境等方面的重要作用，推动我省渔业持续、健康、稳定发展，成为我省渔业产业发展的重要命题。开展莲鱼综合种养，涉及到同一水域空间内水生植物种植和水生动物养殖的一体化管理，生产单元的科学规划、技术和管理环节的合理衔接、放（种）、养、管、销等的一体化，莲鱼综合种养我省虽有了一定实践，但仍存在经验性、试验性、碎片化等问题，目前尚缺少必要的较为完整、系统的技术体系，为使莲鱼综合种养得到规范化、标准化、高效化的有效推进，在现有试验、实践等工作基础上，制定建立相应的技术标准，指导莲鱼综合种养这一重点工作持续、科学、规范、高效发展具有十分重要的现实意义。</w:t>
      </w:r>
    </w:p>
    <w:p w14:paraId="1416B5AF">
      <w:pPr>
        <w:numPr>
          <w:ilvl w:val="0"/>
          <w:numId w:val="1"/>
        </w:numPr>
        <w:spacing w:line="360" w:lineRule="auto"/>
        <w:ind w:firstLine="630" w:firstLineChars="196"/>
        <w:rPr>
          <w:rFonts w:hint="eastAsia" w:ascii="宋体" w:hAnsi="宋体"/>
          <w:b/>
          <w:sz w:val="32"/>
          <w:szCs w:val="32"/>
          <w:lang w:eastAsia="zh-CN"/>
        </w:rPr>
      </w:pPr>
      <w:r>
        <w:rPr>
          <w:rFonts w:hint="eastAsia" w:ascii="宋体" w:hAnsi="宋体"/>
          <w:b/>
          <w:sz w:val="32"/>
          <w:szCs w:val="32"/>
          <w:lang w:eastAsia="zh-CN"/>
        </w:rPr>
        <w:t>主要起草工作过程</w:t>
      </w:r>
    </w:p>
    <w:p w14:paraId="6D6C4AE7">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省自2020年以来，已围绕莲鱼综合种养开展了一系列的试验、示范工作，到2024年，试验规模已扩大到运城、临汾市、忻州等3市4县9个试验点，试验规模已达到一万亩，在放养模式、管理技术、产效对比分析等各主要方面，已取得了较为完整的基础资料，具备了制定符合我省种养殖生产实际的技术标准的条件。</w:t>
      </w:r>
    </w:p>
    <w:p w14:paraId="4072A38C">
      <w:pPr>
        <w:ind w:left="0" w:leftChars="0" w:firstLine="640" w:firstLineChars="200"/>
        <w:rPr>
          <w:rStyle w:val="15"/>
          <w:rFonts w:hint="eastAsia" w:ascii="仿宋" w:hAnsi="仿宋" w:eastAsia="仿宋" w:cs="仿宋"/>
          <w:b w:val="0"/>
          <w:i w:val="0"/>
          <w:caps w:val="0"/>
          <w:color w:val="000000"/>
          <w:spacing w:val="0"/>
          <w:w w:val="100"/>
          <w:kern w:val="2"/>
          <w:sz w:val="32"/>
          <w:szCs w:val="32"/>
          <w:lang w:val="en-US" w:eastAsia="zh-CN" w:bidi="ar-SA"/>
        </w:rPr>
      </w:pPr>
      <w:bookmarkStart w:id="6" w:name="_GoBack"/>
      <w:bookmarkEnd w:id="6"/>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2023年-2024年山西省农业农村厅下达的“渔业高质量发展”项目实施文件，其中在全省实施“莲鱼综合种养”面积10000亩，财政支持资金1172万元，现在，“莲鱼综合种养”正在各地紧锣密鼓的开展中。山西省地方标准</w:t>
      </w:r>
      <w:r>
        <w:rPr>
          <w:rStyle w:val="15"/>
          <w:rFonts w:hint="eastAsia" w:ascii="仿宋" w:hAnsi="仿宋" w:eastAsia="仿宋" w:cs="仿宋"/>
          <w:b w:val="0"/>
          <w:i w:val="0"/>
          <w:caps w:val="0"/>
          <w:color w:val="000000"/>
          <w:spacing w:val="0"/>
          <w:w w:val="100"/>
          <w:kern w:val="2"/>
          <w:sz w:val="32"/>
          <w:szCs w:val="32"/>
          <w:lang w:val="en-US" w:eastAsia="zh-CN" w:bidi="ar-SA"/>
        </w:rPr>
        <w:t>《</w:t>
      </w:r>
      <w:r>
        <w:rPr>
          <w:rFonts w:hint="eastAsia" w:ascii="仿宋" w:hAnsi="仿宋" w:eastAsia="仿宋" w:cs="仿宋"/>
          <w:sz w:val="32"/>
          <w:szCs w:val="32"/>
          <w:u w:val="none"/>
          <w:lang w:eastAsia="zh-CN"/>
        </w:rPr>
        <w:t>莲鱼综合种养技术规范</w:t>
      </w:r>
      <w:r>
        <w:rPr>
          <w:rStyle w:val="15"/>
          <w:rFonts w:hint="eastAsia" w:ascii="仿宋" w:hAnsi="仿宋" w:eastAsia="仿宋" w:cs="仿宋"/>
          <w:b w:val="0"/>
          <w:i w:val="0"/>
          <w:caps w:val="0"/>
          <w:color w:val="000000"/>
          <w:spacing w:val="0"/>
          <w:w w:val="100"/>
          <w:kern w:val="2"/>
          <w:sz w:val="32"/>
          <w:szCs w:val="32"/>
          <w:lang w:val="en-US" w:eastAsia="zh-CN" w:bidi="ar-SA"/>
        </w:rPr>
        <w:t>》的制定工作与各地的项目实施紧密结合，本项目下达后，项目组对各地开展的</w:t>
      </w: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“莲渔综合种养”进行了充分的调研，</w:t>
      </w:r>
      <w:r>
        <w:rPr>
          <w:rStyle w:val="15"/>
          <w:rFonts w:hint="eastAsia" w:ascii="仿宋" w:hAnsi="仿宋" w:eastAsia="仿宋" w:cs="仿宋"/>
          <w:b w:val="0"/>
          <w:i w:val="0"/>
          <w:caps w:val="0"/>
          <w:color w:val="000000"/>
          <w:spacing w:val="0"/>
          <w:w w:val="100"/>
          <w:kern w:val="2"/>
          <w:sz w:val="32"/>
          <w:szCs w:val="32"/>
          <w:lang w:val="en-US" w:eastAsia="zh-CN" w:bidi="ar-SA"/>
        </w:rPr>
        <w:t>总结提炼各地项目实施过程中的先进经验，在莲池田间工程、莲藕种植、田间施肥、鱼病及病虫草害防控、水质调控、水产品养殖、捕捞等关键技术配套集成等环节进行了调查研究，逐步完善建立起了适于我省实际的</w:t>
      </w: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莲鱼综合种养</w:t>
      </w:r>
      <w:r>
        <w:rPr>
          <w:rStyle w:val="15"/>
          <w:rFonts w:hint="eastAsia" w:ascii="仿宋" w:hAnsi="仿宋" w:eastAsia="仿宋" w:cs="仿宋"/>
          <w:b w:val="0"/>
          <w:i w:val="0"/>
          <w:caps w:val="0"/>
          <w:color w:val="000000"/>
          <w:spacing w:val="0"/>
          <w:w w:val="100"/>
          <w:kern w:val="2"/>
          <w:sz w:val="32"/>
          <w:szCs w:val="32"/>
          <w:lang w:val="en-US" w:eastAsia="zh-CN" w:bidi="ar-SA"/>
        </w:rPr>
        <w:t xml:space="preserve">技术，同时，在技术指导、服务工作中加强综合种养科技园区的示范建设，加快推进科研成果转化应用，开展了新品种引进、新技术研发、新模式集成、新品牌打造等工作，为制定《莲鱼综合种养技术规范》打下了坚实的基础。          </w:t>
      </w:r>
    </w:p>
    <w:p w14:paraId="5D7056B9">
      <w:pPr>
        <w:ind w:left="0" w:leftChars="0" w:firstLine="640" w:firstLineChars="200"/>
      </w:pPr>
      <w:r>
        <w:rPr>
          <w:rStyle w:val="15"/>
          <w:rFonts w:hint="eastAsia" w:ascii="仿宋" w:hAnsi="仿宋" w:eastAsia="仿宋" w:cs="仿宋"/>
          <w:b w:val="0"/>
          <w:bCs w:val="0"/>
          <w:i w:val="0"/>
          <w:caps w:val="0"/>
          <w:color w:val="000000"/>
          <w:spacing w:val="0"/>
          <w:w w:val="100"/>
          <w:kern w:val="2"/>
          <w:sz w:val="32"/>
          <w:szCs w:val="32"/>
          <w:u w:val="none"/>
          <w:shd w:val="clear"/>
          <w:lang w:val="en-US" w:eastAsia="zh-CN" w:bidi="ar-SA"/>
        </w:rPr>
        <w:t>根据前期对莲鱼综合种养的调研，莲鱼综合种养亩均利润可达1000元以上，比莲菜单作高出25%，山西省地方标准</w:t>
      </w:r>
      <w:r>
        <w:rPr>
          <w:rStyle w:val="15"/>
          <w:rFonts w:hint="eastAsia" w:ascii="仿宋" w:hAnsi="仿宋" w:eastAsia="仿宋" w:cs="仿宋"/>
          <w:b w:val="0"/>
          <w:i w:val="0"/>
          <w:caps w:val="0"/>
          <w:color w:val="000000"/>
          <w:spacing w:val="0"/>
          <w:w w:val="100"/>
          <w:kern w:val="2"/>
          <w:sz w:val="32"/>
          <w:szCs w:val="32"/>
          <w:lang w:val="en-US" w:eastAsia="zh-CN" w:bidi="ar-SA"/>
        </w:rPr>
        <w:t>《莲鱼综合种养技术规范》的起草制定起到规范我省</w:t>
      </w:r>
      <w:r>
        <w:rPr>
          <w:rStyle w:val="15"/>
          <w:rFonts w:hint="eastAsia" w:ascii="仿宋" w:hAnsi="仿宋" w:eastAsia="仿宋" w:cs="仿宋"/>
          <w:b w:val="0"/>
          <w:bCs w:val="0"/>
          <w:i w:val="0"/>
          <w:caps w:val="0"/>
          <w:color w:val="000000"/>
          <w:spacing w:val="0"/>
          <w:w w:val="100"/>
          <w:kern w:val="2"/>
          <w:sz w:val="32"/>
          <w:szCs w:val="32"/>
          <w:u w:val="none"/>
          <w:shd w:val="clear"/>
          <w:lang w:val="en-US" w:eastAsia="zh-CN" w:bidi="ar-SA"/>
        </w:rPr>
        <w:t>莲鱼综合种养的逐步规范发展，充分发挥莲田水域资源功能，大大提高莲鱼综合种养的社会、经济和生态效益。</w:t>
      </w:r>
    </w:p>
    <w:p w14:paraId="6C4A2CA2">
      <w:pPr>
        <w:tabs>
          <w:tab w:val="right" w:leader="dot" w:pos="10045"/>
        </w:tabs>
        <w:spacing w:before="58" w:line="222" w:lineRule="auto"/>
        <w:ind w:left="0" w:leftChars="0" w:firstLine="420" w:firstLineChars="200"/>
        <w:rPr>
          <w:rFonts w:hint="eastAsia"/>
          <w:lang w:eastAsia="zh-CN"/>
        </w:rPr>
      </w:pPr>
    </w:p>
    <w:p w14:paraId="131EF87D">
      <w:pPr>
        <w:pStyle w:val="11"/>
        <w:numPr>
          <w:ilvl w:val="0"/>
          <w:numId w:val="1"/>
        </w:numPr>
        <w:spacing w:line="360" w:lineRule="auto"/>
        <w:ind w:left="0" w:leftChars="0" w:firstLine="630" w:firstLineChars="196"/>
        <w:rPr>
          <w:rFonts w:hint="eastAsia" w:ascii="宋体" w:hAnsi="宋体"/>
          <w:b/>
          <w:sz w:val="32"/>
          <w:szCs w:val="32"/>
        </w:rPr>
      </w:pP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14:paraId="0989C4D1">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据统计，2023年我省水产品总量为5.6万吨，渔业经济总产值9.3亿元，山西渔业与渔业发达省市规模、产量虽相对较小，但各类渔业资源、水产养殖模式门类齐全、并有自身的产业特色，本标准的制定依据2019年1月16日农业农村部等十部委印发了《关于加快推进水产养殖绿色发展的若干意见》文件精神“科学拓展水产养殖空间，大力推广稻（莲）渔综合种养，提高稻（莲）田综合效益，实现稳粮促渔、提质增效”，以及2021年，山西省人民政府办公厅印发的《山西省养殖水域滩涂规划（2021-2030年）》（晋政办发[2021]29号）及2021年山西省农业农村厅发布的《山西省渔业“十四五”发展规划》等文件精神：在我省要科学拓展水产养殖空间，充分利用传统 的莲（稻）田资源，加强莲（稻）渔综合种养生态工程建设，加大莲（稻）田渔综合种养技术推广力度，创建一批有地域特色的亩产“百斤鱼 、千斤粮、万元钱”的示范基地，示范推广7 万亩莲渔综合种养示范基地和 3 万亩稻渔综合种养示范基地，实现“一水两用、一田双收”。</w:t>
      </w:r>
    </w:p>
    <w:p w14:paraId="17F634D8">
      <w:pPr>
        <w:pStyle w:val="11"/>
        <w:numPr>
          <w:ilvl w:val="0"/>
          <w:numId w:val="0"/>
        </w:numPr>
        <w:spacing w:line="360" w:lineRule="auto"/>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前我省开展莲渔、稻渔综合种养面积仅为1万亩左右，分布在我省运城市的芮城、永济、临猗、万荣，大同云州区，朔州市朔城区，忻州市原平市、代县、繁峙县、阳泉市盂县、长治市沁县，临汾市安泽县，太原市清徐、晋源区等沿黄、沿汾等地，分布较散未形成一定的规模，莲渔综合种养模式属于一种渔农相结合的绿色、生态发展模式，凸显了“以渔促蔬（莲藕），稳粮增效”的价值，具备显著的社会、生态和经济效益，值得推广。其在渔业产业扶贫、渔农民增收致富、乡村振兴及落实习总书记“大食物观”战略上发挥着积极重要的作用，据不完全统计我省莲田面积在10万亩以上，近年来全省陆续在多地开展稻（莲）渔综合种养工作，但利用率仍不高，有着巨大的发展空间，且存在各地发展不平衡，新技术、新模式覆盖率低的现象，需要不断的示范推广，该模式符合现行的产业政策。</w:t>
      </w:r>
    </w:p>
    <w:p w14:paraId="1F04564B">
      <w:pPr>
        <w:pStyle w:val="11"/>
        <w:numPr>
          <w:ilvl w:val="0"/>
          <w:numId w:val="0"/>
        </w:numPr>
        <w:spacing w:line="360" w:lineRule="auto"/>
        <w:ind w:firstLine="640" w:firstLineChars="200"/>
        <w:jc w:val="both"/>
        <w:rPr>
          <w:rStyle w:val="15"/>
          <w:rFonts w:hint="eastAsia" w:ascii="仿宋" w:hAnsi="仿宋" w:eastAsia="仿宋" w:cs="仿宋"/>
          <w:b w:val="0"/>
          <w:i w:val="0"/>
          <w:caps w:val="0"/>
          <w:color w:val="000000"/>
          <w:spacing w:val="0"/>
          <w:w w:val="100"/>
          <w:kern w:val="2"/>
          <w:sz w:val="32"/>
          <w:szCs w:val="32"/>
          <w:lang w:val="en-US" w:eastAsia="zh-CN" w:bidi="ar-SA"/>
        </w:rPr>
      </w:pPr>
      <w:r>
        <w:rPr>
          <w:rFonts w:hint="eastAsia" w:ascii="仿宋" w:hAnsi="仿宋" w:eastAsia="仿宋" w:cs="仿宋"/>
          <w:sz w:val="32"/>
          <w:szCs w:val="32"/>
          <w:lang w:val="en-US" w:eastAsia="zh-CN"/>
        </w:rPr>
        <w:t>国内外相关标准情况：</w:t>
      </w: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2022年4月</w:t>
      </w:r>
      <w:bookmarkStart w:id="0" w:name="bookmark4"/>
      <w:bookmarkStart w:id="1" w:name="bookmark5"/>
      <w:bookmarkStart w:id="2" w:name="bookmark3"/>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福建省市场监督管理局发布福建省</w:t>
      </w:r>
      <w:bookmarkEnd w:id="0"/>
      <w:bookmarkEnd w:id="1"/>
      <w:bookmarkEnd w:id="2"/>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地方标准《</w:t>
      </w:r>
      <w:bookmarkStart w:id="3" w:name="bookmark7"/>
      <w:bookmarkStart w:id="4" w:name="bookmark8"/>
      <w:bookmarkStart w:id="5" w:name="bookmark6"/>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莲田养鱼技术规范</w:t>
      </w:r>
      <w:bookmarkEnd w:id="3"/>
      <w:bookmarkEnd w:id="4"/>
      <w:bookmarkEnd w:id="5"/>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w:t>
      </w:r>
      <w:r>
        <w:rPr>
          <w:rStyle w:val="15"/>
          <w:rFonts w:hint="eastAsia" w:ascii="仿宋" w:hAnsi="仿宋" w:eastAsia="仿宋" w:cs="仿宋"/>
          <w:b w:val="0"/>
          <w:i w:val="0"/>
          <w:caps w:val="0"/>
          <w:color w:val="000000"/>
          <w:spacing w:val="0"/>
          <w:w w:val="100"/>
          <w:kern w:val="2"/>
          <w:sz w:val="32"/>
          <w:szCs w:val="32"/>
          <w:u w:val="none"/>
          <w:shd w:val="clear"/>
          <w:lang w:val="en-US" w:eastAsia="en-US" w:bidi="ar-SA"/>
        </w:rPr>
        <w:t>DB35/T 2052—2022</w:t>
      </w: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），其明确了莲田养鱼的环境条件，规定了鱼种放养、莲栽培技术、日常管理、日志等技术要求。文件适用于莲田鲤、鲫等鱼类成鱼养殖和草鱼鱼种培育。这一标准对我省制定标准</w:t>
      </w:r>
      <w:r>
        <w:rPr>
          <w:rStyle w:val="15"/>
          <w:rFonts w:hint="eastAsia" w:ascii="仿宋" w:hAnsi="仿宋" w:eastAsia="仿宋" w:cs="仿宋"/>
          <w:b w:val="0"/>
          <w:i w:val="0"/>
          <w:caps w:val="0"/>
          <w:color w:val="000000"/>
          <w:spacing w:val="0"/>
          <w:w w:val="100"/>
          <w:kern w:val="2"/>
          <w:sz w:val="32"/>
          <w:szCs w:val="32"/>
          <w:lang w:val="en-US" w:eastAsia="zh-CN" w:bidi="ar-SA"/>
        </w:rPr>
        <w:t>具有一定借鉴意义，但与地处北方的我省的养殖实际尚存在较为明显的差异。</w:t>
      </w:r>
    </w:p>
    <w:p w14:paraId="14A45AA5">
      <w:pPr>
        <w:pStyle w:val="11"/>
        <w:numPr>
          <w:ilvl w:val="0"/>
          <w:numId w:val="0"/>
        </w:numPr>
        <w:spacing w:line="360" w:lineRule="auto"/>
        <w:ind w:firstLine="200" w:firstLineChars="200"/>
        <w:jc w:val="both"/>
        <w:rPr>
          <w:rStyle w:val="15"/>
          <w:rFonts w:hint="eastAsia" w:ascii="仿宋" w:hAnsi="仿宋" w:eastAsia="仿宋" w:cs="仿宋"/>
          <w:b w:val="0"/>
          <w:i w:val="0"/>
          <w:caps w:val="0"/>
          <w:color w:val="000000"/>
          <w:spacing w:val="0"/>
          <w:w w:val="100"/>
          <w:kern w:val="2"/>
          <w:sz w:val="10"/>
          <w:szCs w:val="10"/>
          <w:lang w:val="en-US" w:eastAsia="zh-CN" w:bidi="ar-SA"/>
        </w:rPr>
      </w:pPr>
    </w:p>
    <w:p w14:paraId="1B3739AD">
      <w:pPr>
        <w:numPr>
          <w:ilvl w:val="0"/>
          <w:numId w:val="1"/>
        </w:numPr>
        <w:spacing w:line="360" w:lineRule="auto"/>
        <w:ind w:left="0" w:leftChars="0" w:firstLine="630" w:firstLineChars="196"/>
        <w:rPr>
          <w:rFonts w:hint="eastAsia" w:ascii="宋体" w:hAnsi="宋体"/>
          <w:b/>
          <w:sz w:val="32"/>
          <w:szCs w:val="32"/>
          <w:lang w:eastAsia="zh-CN"/>
        </w:rPr>
      </w:pPr>
      <w:r>
        <w:rPr>
          <w:rFonts w:hint="eastAsia" w:ascii="宋体" w:hAnsi="宋体"/>
          <w:b/>
          <w:sz w:val="32"/>
          <w:szCs w:val="32"/>
          <w:lang w:eastAsia="zh-CN"/>
        </w:rPr>
        <w:t>主要条款说明</w:t>
      </w:r>
    </w:p>
    <w:p w14:paraId="41AB70C2">
      <w:pPr>
        <w:tabs>
          <w:tab w:val="right" w:leader="dot" w:pos="10045"/>
        </w:tabs>
        <w:spacing w:before="58" w:line="222" w:lineRule="auto"/>
        <w:ind w:left="0" w:leftChars="0" w:firstLine="640" w:firstLineChars="200"/>
        <w:rPr>
          <w:rFonts w:hint="eastAsia"/>
          <w:lang w:eastAsia="zh-CN"/>
        </w:rPr>
      </w:pP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本标准条款主要内容包括：范围、规范性引用文件、术语和定义、环境条件、养鱼莲田的设施、莲藕种植管理、鱼类养殖管理、病害防治、收获、档案管理等，以上条款逐一对</w:t>
      </w:r>
      <w:r>
        <w:rPr>
          <w:rStyle w:val="15"/>
          <w:rFonts w:hint="eastAsia" w:ascii="仿宋" w:hAnsi="仿宋" w:eastAsia="仿宋" w:cs="仿宋"/>
          <w:b w:val="0"/>
          <w:i w:val="0"/>
          <w:caps w:val="0"/>
          <w:color w:val="000000"/>
          <w:spacing w:val="0"/>
          <w:w w:val="100"/>
          <w:kern w:val="2"/>
          <w:sz w:val="32"/>
          <w:szCs w:val="32"/>
          <w:lang w:val="en-US" w:eastAsia="zh-CN" w:bidi="ar-SA"/>
        </w:rPr>
        <w:t>莲鱼综合种养的各项技术环节进行的规范。</w:t>
      </w:r>
    </w:p>
    <w:p w14:paraId="5EAF62A7">
      <w:pPr>
        <w:rPr>
          <w:rFonts w:hint="eastAsia"/>
          <w:lang w:eastAsia="zh-CN"/>
        </w:rPr>
      </w:pPr>
    </w:p>
    <w:p w14:paraId="4FE9D95A">
      <w:pPr>
        <w:pStyle w:val="3"/>
        <w:spacing w:line="360" w:lineRule="auto"/>
        <w:ind w:left="641" w:firstLine="0" w:firstLineChars="0"/>
        <w:rPr>
          <w:rFonts w:hint="eastAsia" w:ascii="宋体" w:hAnsi="宋体"/>
          <w:b/>
          <w:sz w:val="32"/>
          <w:szCs w:val="32"/>
          <w:lang w:eastAsia="zh-CN"/>
        </w:rPr>
      </w:pPr>
      <w:r>
        <w:rPr>
          <w:rFonts w:hint="eastAsia" w:ascii="宋体" w:hAnsi="宋体"/>
          <w:b/>
          <w:sz w:val="32"/>
          <w:szCs w:val="32"/>
        </w:rPr>
        <w:t>六、</w:t>
      </w:r>
      <w:r>
        <w:rPr>
          <w:rFonts w:hint="eastAsia" w:ascii="宋体" w:hAnsi="宋体"/>
          <w:b/>
          <w:sz w:val="32"/>
          <w:szCs w:val="32"/>
          <w:lang w:eastAsia="zh-CN"/>
        </w:rPr>
        <w:t>重大意见分歧的处理依据和结果</w:t>
      </w:r>
    </w:p>
    <w:p w14:paraId="5C8894A6">
      <w:pPr>
        <w:spacing w:line="360" w:lineRule="auto"/>
        <w:ind w:firstLine="640" w:firstLineChars="200"/>
        <w:rPr>
          <w:rFonts w:hint="eastAsia" w:eastAsia="宋体"/>
          <w:sz w:val="32"/>
          <w:szCs w:val="32"/>
        </w:rPr>
      </w:pP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本技术规范未有重大意见的分歧</w:t>
      </w:r>
      <w:r>
        <w:rPr>
          <w:rFonts w:hint="eastAsia" w:eastAsia="宋体"/>
          <w:sz w:val="32"/>
          <w:szCs w:val="32"/>
          <w:lang w:eastAsia="zh-CN"/>
        </w:rPr>
        <w:t>（</w:t>
      </w: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征求意见情况见附表</w:t>
      </w:r>
      <w:r>
        <w:rPr>
          <w:rFonts w:hint="eastAsia" w:eastAsia="宋体"/>
          <w:sz w:val="32"/>
          <w:szCs w:val="32"/>
          <w:lang w:eastAsia="zh-CN"/>
        </w:rPr>
        <w:t>）</w:t>
      </w:r>
    </w:p>
    <w:p w14:paraId="55BA98E9">
      <w:pPr>
        <w:pStyle w:val="3"/>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七、作为推荐性标准的建议</w:t>
      </w:r>
      <w:r>
        <w:rPr>
          <w:rFonts w:hint="eastAsia" w:ascii="宋体" w:hAnsi="宋体"/>
          <w:b/>
          <w:sz w:val="32"/>
          <w:szCs w:val="32"/>
          <w:lang w:eastAsia="zh-CN"/>
        </w:rPr>
        <w:t>及其理由</w:t>
      </w:r>
    </w:p>
    <w:p w14:paraId="49410462">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Style w:val="15"/>
          <w:rFonts w:hint="eastAsia" w:ascii="仿宋" w:hAnsi="仿宋" w:eastAsia="仿宋" w:cs="仿宋"/>
          <w:b w:val="0"/>
          <w:i w:val="0"/>
          <w:caps w:val="0"/>
          <w:color w:val="000000"/>
          <w:spacing w:val="0"/>
          <w:w w:val="100"/>
          <w:kern w:val="2"/>
          <w:sz w:val="32"/>
          <w:szCs w:val="32"/>
          <w:u w:val="none"/>
          <w:shd w:val="clear"/>
          <w:lang w:val="en-US" w:eastAsia="zh-CN" w:bidi="ar-SA"/>
        </w:rPr>
        <w:t>本标准为推荐性标准。</w:t>
      </w:r>
      <w:r>
        <w:rPr>
          <w:rFonts w:hint="eastAsia" w:ascii="仿宋" w:hAnsi="仿宋" w:eastAsia="仿宋" w:cs="仿宋"/>
          <w:sz w:val="32"/>
          <w:szCs w:val="32"/>
          <w:lang w:val="en-US" w:eastAsia="zh-CN"/>
        </w:rPr>
        <w:t>十四五期间山西省拟开展渔农综合利用面积10万亩以上，其中规划实施莲渔综合种养模式7万亩，主要分布于我省沿黄河、沿汾河一带的河滩地；拟大力开展盐碱地稻渔、莲渔综合种养模式建设，开展莲渔多品种养殖结合的渔农发展模式，不断优化农业产业体系、提高土地产出率、资源利用率、劳动生产率，推进稻（莲）田综合立体种养和盐碱地生态养殖，带动休闲、物流、冷链等全产业融合发展，促进农民致富增收和乡村振兴，</w:t>
      </w:r>
    </w:p>
    <w:p w14:paraId="4AC7BCB2">
      <w:pPr>
        <w:keepNext w:val="0"/>
        <w:keepLines w:val="0"/>
        <w:widowControl/>
        <w:suppressLineNumbers w:val="0"/>
        <w:ind w:firstLine="640" w:firstLineChars="200"/>
        <w:jc w:val="both"/>
        <w:rPr>
          <w:rStyle w:val="15"/>
          <w:rFonts w:hint="eastAsia" w:ascii="仿宋" w:hAnsi="仿宋" w:eastAsia="仿宋" w:cs="仿宋"/>
          <w:b w:val="0"/>
          <w:i w:val="0"/>
          <w:caps w:val="0"/>
          <w:color w:val="000000"/>
          <w:spacing w:val="0"/>
          <w:w w:val="100"/>
          <w:kern w:val="2"/>
          <w:sz w:val="32"/>
          <w:szCs w:val="32"/>
          <w:lang w:val="en-US" w:eastAsia="zh-CN" w:bidi="ar-SA"/>
        </w:rPr>
      </w:pPr>
      <w:r>
        <w:rPr>
          <w:rFonts w:hint="eastAsia" w:ascii="仿宋" w:hAnsi="仿宋" w:eastAsia="仿宋" w:cs="仿宋"/>
          <w:sz w:val="32"/>
          <w:szCs w:val="32"/>
          <w:lang w:val="en-US" w:eastAsia="zh-CN"/>
        </w:rPr>
        <w:t>近年来，山西省水产技术推广服务中心对全省莲渔综合种养情况的开展了调研工作，对全省的莲渔综合种养的技术模式和种养规模进行了摸底。编制全省稻（莲）渔综合种养发展规划，相关市县也要编制本区域发展规划与实施方案，将统筹推进稻（莲）种植与水产养殖相结合，做好与土地利用、乡村发展、高标准农田建设等规划相衔接，加强特色优质鱼类苗种繁育、水产品暂养育肥等设施建设，培育打造区域品牌，拓宽水产品营销通道等作为方案的实施内容。与此同时，山西省地方标准</w:t>
      </w:r>
      <w:r>
        <w:rPr>
          <w:rStyle w:val="15"/>
          <w:rFonts w:hint="eastAsia" w:ascii="仿宋" w:hAnsi="仿宋" w:eastAsia="仿宋" w:cs="仿宋"/>
          <w:b w:val="0"/>
          <w:i w:val="0"/>
          <w:caps w:val="0"/>
          <w:color w:val="000000"/>
          <w:spacing w:val="0"/>
          <w:w w:val="100"/>
          <w:kern w:val="2"/>
          <w:sz w:val="32"/>
          <w:szCs w:val="32"/>
          <w:lang w:val="en-US" w:eastAsia="zh-CN" w:bidi="ar-SA"/>
        </w:rPr>
        <w:t>《</w:t>
      </w:r>
      <w:r>
        <w:rPr>
          <w:rFonts w:hint="eastAsia" w:ascii="仿宋" w:hAnsi="仿宋" w:eastAsia="仿宋" w:cs="仿宋"/>
          <w:sz w:val="32"/>
          <w:szCs w:val="32"/>
          <w:u w:val="none"/>
          <w:lang w:eastAsia="zh-CN"/>
        </w:rPr>
        <w:t>莲鱼综合种养技术规范</w:t>
      </w:r>
      <w:r>
        <w:rPr>
          <w:rStyle w:val="15"/>
          <w:rFonts w:hint="eastAsia" w:ascii="仿宋" w:hAnsi="仿宋" w:eastAsia="仿宋" w:cs="仿宋"/>
          <w:b w:val="0"/>
          <w:i w:val="0"/>
          <w:caps w:val="0"/>
          <w:color w:val="000000"/>
          <w:spacing w:val="0"/>
          <w:w w:val="100"/>
          <w:kern w:val="2"/>
          <w:sz w:val="32"/>
          <w:szCs w:val="32"/>
          <w:lang w:val="en-US" w:eastAsia="zh-CN" w:bidi="ar-SA"/>
        </w:rPr>
        <w:t>》将总结、提炼各地的先进经验，标准制定后可用于规范、指导我省各地“</w:t>
      </w:r>
      <w:r>
        <w:rPr>
          <w:rFonts w:hint="eastAsia" w:ascii="仿宋" w:hAnsi="仿宋" w:eastAsia="仿宋" w:cs="仿宋"/>
          <w:sz w:val="32"/>
          <w:szCs w:val="32"/>
          <w:u w:val="none"/>
          <w:lang w:eastAsia="zh-CN"/>
        </w:rPr>
        <w:t>莲鱼综合种养</w:t>
      </w:r>
      <w:r>
        <w:rPr>
          <w:rStyle w:val="15"/>
          <w:rFonts w:hint="eastAsia" w:ascii="仿宋" w:hAnsi="仿宋" w:eastAsia="仿宋" w:cs="仿宋"/>
          <w:b w:val="0"/>
          <w:i w:val="0"/>
          <w:caps w:val="0"/>
          <w:color w:val="000000"/>
          <w:spacing w:val="0"/>
          <w:w w:val="100"/>
          <w:kern w:val="2"/>
          <w:sz w:val="32"/>
          <w:szCs w:val="32"/>
          <w:lang w:val="en-US" w:eastAsia="zh-CN" w:bidi="ar-SA"/>
        </w:rPr>
        <w:t>”工作的开展。</w:t>
      </w:r>
    </w:p>
    <w:p w14:paraId="7941EF8D">
      <w:pPr>
        <w:pStyle w:val="2"/>
        <w:rPr>
          <w:sz w:val="10"/>
          <w:szCs w:val="10"/>
        </w:rPr>
      </w:pPr>
    </w:p>
    <w:p w14:paraId="282FBF27">
      <w:pPr>
        <w:pStyle w:val="3"/>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八、</w:t>
      </w:r>
      <w:r>
        <w:rPr>
          <w:rFonts w:hint="eastAsia" w:ascii="宋体" w:hAnsi="宋体"/>
          <w:b/>
          <w:sz w:val="32"/>
          <w:szCs w:val="32"/>
          <w:lang w:eastAsia="zh-CN"/>
        </w:rPr>
        <w:t>标准实施的</w:t>
      </w:r>
      <w:r>
        <w:rPr>
          <w:rFonts w:hint="eastAsia" w:ascii="宋体" w:hAnsi="宋体"/>
          <w:b/>
          <w:sz w:val="32"/>
          <w:szCs w:val="32"/>
        </w:rPr>
        <w:t>措施</w:t>
      </w:r>
      <w:r>
        <w:rPr>
          <w:rFonts w:hint="eastAsia" w:ascii="宋体" w:hAnsi="宋体"/>
          <w:b/>
          <w:sz w:val="32"/>
          <w:szCs w:val="32"/>
          <w:lang w:eastAsia="zh-CN"/>
        </w:rPr>
        <w:t>建议</w:t>
      </w:r>
    </w:p>
    <w:p w14:paraId="1D55C232">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1、强化资金保障：</w:t>
      </w:r>
    </w:p>
    <w:p w14:paraId="181F6398">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建议强化对</w:t>
      </w:r>
      <w:r>
        <w:rPr>
          <w:rFonts w:hint="eastAsia" w:ascii="仿宋" w:hAnsi="仿宋" w:eastAsia="仿宋" w:cs="仿宋"/>
          <w:sz w:val="32"/>
          <w:szCs w:val="32"/>
          <w:u w:val="none"/>
          <w:lang w:eastAsia="zh-CN"/>
        </w:rPr>
        <w:t>莲鱼综合种养发展的资金保障力度，</w:t>
      </w:r>
      <w:r>
        <w:rPr>
          <w:rFonts w:hint="eastAsia" w:ascii="仿宋" w:hAnsi="仿宋" w:eastAsia="仿宋" w:cs="仿宋"/>
          <w:sz w:val="32"/>
          <w:szCs w:val="32"/>
          <w:lang w:val="en-US" w:eastAsia="zh-CN"/>
        </w:rPr>
        <w:t>标准出台后，对标准的实施也会起到保障作用。</w:t>
      </w:r>
    </w:p>
    <w:p w14:paraId="6B46D2F1">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2、加强宣传和技术培训</w:t>
      </w:r>
    </w:p>
    <w:p w14:paraId="5D20E52E">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通过宣讲、讲解等形式,对发布后的地方标准进行详细解读，包括标准的制定背景、主要内容、实施要求等。进行案例分析和讨论，引导</w:t>
      </w:r>
      <w:r>
        <w:rPr>
          <w:rFonts w:hint="eastAsia" w:ascii="仿宋" w:hAnsi="仿宋" w:eastAsia="仿宋" w:cs="仿宋"/>
          <w:sz w:val="32"/>
          <w:szCs w:val="32"/>
          <w:u w:val="none"/>
          <w:lang w:eastAsia="zh-CN"/>
        </w:rPr>
        <w:t>莲鱼综合种养</w:t>
      </w:r>
      <w:r>
        <w:rPr>
          <w:rFonts w:hint="eastAsia" w:ascii="仿宋" w:hAnsi="仿宋" w:eastAsia="仿宋" w:cs="仿宋"/>
          <w:sz w:val="32"/>
          <w:szCs w:val="32"/>
          <w:lang w:val="en-US" w:eastAsia="zh-CN"/>
        </w:rPr>
        <w:t>者的深入理解和应用。介绍标准化的基本知识，包括标准的定义、分类、作用等,提高参与者对标准化工作的认识和理解。分享实际案例,介绍成功应用地方标准的经验与方法。</w:t>
      </w:r>
    </w:p>
    <w:p w14:paraId="0C3EC4CD">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3、宣贯与培训形式</w:t>
      </w:r>
    </w:p>
    <w:p w14:paraId="61A8EDCD">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制定标准培训资料，下发养殖企业进行线下培训，利用农技人员技术服务活动，对养殖生产单位进行标准培训，针对各类参与人员开展专业培训，提升参与者的标准化工作能力。在线培训，利用微信等网络平台，编制标准宣贯与培训方案，确保宣贯与培训活动的覆盖广度和灵活性。</w:t>
      </w:r>
    </w:p>
    <w:p w14:paraId="32764B3F">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4、组织保障</w:t>
      </w:r>
    </w:p>
    <w:p w14:paraId="0CFBF206">
      <w:pPr>
        <w:keepNext w:val="0"/>
        <w:keepLines w:val="0"/>
        <w:widowControl/>
        <w:suppressLineNumbers w:val="0"/>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成立标准实施小组，由标准制定成员组成实施宣贯和培训组,将标准的内容纳入技术培训范围,进一步保障标准有效落实。</w:t>
      </w:r>
    </w:p>
    <w:p w14:paraId="67C2C94C">
      <w:pPr>
        <w:rPr>
          <w:rFonts w:hint="eastAsia" w:ascii="仿宋" w:hAnsi="仿宋" w:eastAsia="仿宋" w:cs="仿宋"/>
          <w:sz w:val="32"/>
          <w:szCs w:val="32"/>
          <w:lang w:val="en-US" w:eastAsia="zh-CN"/>
        </w:rPr>
        <w:sectPr>
          <w:pgSz w:w="11906" w:h="16838"/>
          <w:pgMar w:top="1440" w:right="1800" w:bottom="1440" w:left="1800" w:header="851" w:footer="992" w:gutter="0"/>
          <w:cols w:space="425" w:num="1"/>
          <w:docGrid w:type="lines" w:linePitch="312" w:charSpace="0"/>
        </w:sectPr>
      </w:pPr>
    </w:p>
    <w:p w14:paraId="70B63B6E">
      <w:pPr>
        <w:widowControl/>
        <w:jc w:val="left"/>
        <w:rPr>
          <w:rFonts w:hint="eastAsia" w:ascii="宋体" w:hAnsi="宋体" w:eastAsia="宋体"/>
          <w:b/>
          <w:sz w:val="32"/>
          <w:szCs w:val="32"/>
          <w:lang w:eastAsia="zh-CN"/>
        </w:rPr>
      </w:pPr>
      <w:r>
        <w:rPr>
          <w:rFonts w:hint="eastAsia" w:ascii="宋体" w:hAnsi="宋体"/>
          <w:sz w:val="32"/>
          <w:szCs w:val="32"/>
        </w:rPr>
        <w:t>附表</w:t>
      </w:r>
      <w:r>
        <w:rPr>
          <w:rFonts w:hint="eastAsia" w:ascii="宋体" w:hAnsi="宋体"/>
          <w:sz w:val="32"/>
          <w:szCs w:val="32"/>
          <w:lang w:eastAsia="zh-CN"/>
        </w:rPr>
        <w:t>：</w:t>
      </w:r>
    </w:p>
    <w:p w14:paraId="14D71AB8">
      <w:pPr>
        <w:pStyle w:val="3"/>
        <w:spacing w:line="360" w:lineRule="auto"/>
        <w:ind w:firstLine="5421" w:firstLineChars="1500"/>
        <w:jc w:val="both"/>
        <w:rPr>
          <w:rFonts w:ascii="宋体" w:hAnsi="宋体"/>
          <w:b/>
          <w:sz w:val="36"/>
          <w:szCs w:val="36"/>
        </w:rPr>
      </w:pPr>
      <w:r>
        <w:rPr>
          <w:rFonts w:hint="eastAsia" w:ascii="宋体" w:hAnsi="宋体"/>
          <w:b/>
          <w:color w:val="000000"/>
          <w:sz w:val="36"/>
          <w:szCs w:val="36"/>
        </w:rPr>
        <w:t>征求意见汇总处理</w:t>
      </w:r>
      <w:r>
        <w:rPr>
          <w:rFonts w:hint="eastAsia" w:ascii="宋体" w:hAnsi="宋体"/>
          <w:b/>
          <w:sz w:val="36"/>
          <w:szCs w:val="36"/>
        </w:rPr>
        <w:t>表</w:t>
      </w:r>
    </w:p>
    <w:tbl>
      <w:tblPr>
        <w:tblStyle w:val="8"/>
        <w:tblpPr w:leftFromText="180" w:rightFromText="180" w:vertAnchor="text" w:horzAnchor="page" w:tblpX="1654" w:tblpY="821"/>
        <w:tblOverlap w:val="never"/>
        <w:tblW w:w="13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
        <w:gridCol w:w="2270"/>
        <w:gridCol w:w="3681"/>
        <w:gridCol w:w="3108"/>
        <w:gridCol w:w="1956"/>
        <w:gridCol w:w="2051"/>
      </w:tblGrid>
      <w:tr w14:paraId="2F40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609" w:type="dxa"/>
            <w:noWrap w:val="0"/>
            <w:vAlign w:val="center"/>
          </w:tcPr>
          <w:p w14:paraId="1064975C">
            <w:pPr>
              <w:jc w:val="center"/>
              <w:rPr>
                <w:rFonts w:ascii="仿宋_GB2312" w:hAnsi="宋体" w:eastAsia="仿宋_GB2312"/>
                <w:sz w:val="24"/>
              </w:rPr>
            </w:pPr>
            <w:r>
              <w:rPr>
                <w:rFonts w:hint="eastAsia" w:ascii="仿宋_GB2312" w:hAnsi="宋体" w:eastAsia="仿宋_GB2312"/>
                <w:sz w:val="24"/>
              </w:rPr>
              <w:t>序号</w:t>
            </w:r>
          </w:p>
        </w:tc>
        <w:tc>
          <w:tcPr>
            <w:tcW w:w="2270" w:type="dxa"/>
            <w:noWrap w:val="0"/>
            <w:vAlign w:val="center"/>
          </w:tcPr>
          <w:p w14:paraId="317D1A7E">
            <w:pPr>
              <w:jc w:val="center"/>
              <w:rPr>
                <w:rFonts w:ascii="仿宋_GB2312" w:hAnsi="宋体" w:eastAsia="仿宋_GB2312"/>
                <w:sz w:val="24"/>
              </w:rPr>
            </w:pPr>
            <w:r>
              <w:rPr>
                <w:rFonts w:hint="eastAsia" w:ascii="仿宋_GB2312" w:hAnsi="宋体" w:eastAsia="仿宋_GB2312"/>
                <w:sz w:val="24"/>
              </w:rPr>
              <w:t>标准章条编号</w:t>
            </w:r>
          </w:p>
        </w:tc>
        <w:tc>
          <w:tcPr>
            <w:tcW w:w="3681" w:type="dxa"/>
            <w:noWrap w:val="0"/>
            <w:vAlign w:val="center"/>
          </w:tcPr>
          <w:p w14:paraId="6F210F1F">
            <w:pPr>
              <w:jc w:val="center"/>
              <w:rPr>
                <w:rFonts w:ascii="仿宋_GB2312" w:hAnsi="宋体" w:eastAsia="仿宋_GB2312"/>
                <w:sz w:val="24"/>
              </w:rPr>
            </w:pPr>
            <w:r>
              <w:rPr>
                <w:rFonts w:hint="eastAsia" w:ascii="仿宋_GB2312" w:hAnsi="宋体" w:eastAsia="仿宋_GB2312"/>
                <w:sz w:val="24"/>
              </w:rPr>
              <w:t>意见内容</w:t>
            </w:r>
          </w:p>
        </w:tc>
        <w:tc>
          <w:tcPr>
            <w:tcW w:w="3108" w:type="dxa"/>
            <w:noWrap w:val="0"/>
            <w:vAlign w:val="center"/>
          </w:tcPr>
          <w:p w14:paraId="7D9C506C">
            <w:pPr>
              <w:jc w:val="center"/>
              <w:rPr>
                <w:rFonts w:ascii="仿宋_GB2312" w:hAnsi="宋体" w:eastAsia="仿宋_GB2312"/>
                <w:sz w:val="24"/>
              </w:rPr>
            </w:pPr>
            <w:r>
              <w:rPr>
                <w:rFonts w:hint="eastAsia" w:ascii="仿宋_GB2312" w:hAnsi="宋体" w:eastAsia="仿宋_GB2312"/>
                <w:sz w:val="24"/>
              </w:rPr>
              <w:t>提出单位</w:t>
            </w:r>
          </w:p>
          <w:p w14:paraId="7EA44383">
            <w:pPr>
              <w:jc w:val="center"/>
              <w:rPr>
                <w:rFonts w:ascii="仿宋_GB2312" w:hAnsi="宋体" w:eastAsia="仿宋_GB2312"/>
                <w:sz w:val="24"/>
              </w:rPr>
            </w:pPr>
            <w:r>
              <w:rPr>
                <w:rFonts w:hint="eastAsia" w:ascii="仿宋_GB2312" w:hAnsi="宋体" w:eastAsia="仿宋_GB2312"/>
                <w:sz w:val="24"/>
              </w:rPr>
              <w:t>（或个人）</w:t>
            </w:r>
          </w:p>
        </w:tc>
        <w:tc>
          <w:tcPr>
            <w:tcW w:w="1956" w:type="dxa"/>
            <w:noWrap w:val="0"/>
            <w:vAlign w:val="center"/>
          </w:tcPr>
          <w:p w14:paraId="6BDBDAE8">
            <w:pPr>
              <w:jc w:val="center"/>
              <w:rPr>
                <w:rFonts w:ascii="仿宋_GB2312" w:hAnsi="宋体" w:eastAsia="仿宋_GB2312"/>
                <w:sz w:val="24"/>
              </w:rPr>
            </w:pPr>
            <w:r>
              <w:rPr>
                <w:rFonts w:hint="eastAsia" w:ascii="仿宋_GB2312" w:hAnsi="宋体" w:eastAsia="仿宋_GB2312"/>
                <w:sz w:val="24"/>
              </w:rPr>
              <w:t>处理意见</w:t>
            </w:r>
          </w:p>
          <w:p w14:paraId="7442E656">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2051" w:type="dxa"/>
            <w:noWrap w:val="0"/>
            <w:vAlign w:val="center"/>
          </w:tcPr>
          <w:p w14:paraId="02B1D714">
            <w:pPr>
              <w:jc w:val="center"/>
              <w:rPr>
                <w:rFonts w:ascii="仿宋_GB2312" w:hAnsi="宋体" w:eastAsia="仿宋_GB2312"/>
                <w:sz w:val="24"/>
              </w:rPr>
            </w:pPr>
            <w:r>
              <w:rPr>
                <w:rFonts w:hint="eastAsia" w:ascii="仿宋_GB2312" w:hAnsi="宋体" w:eastAsia="仿宋_GB2312"/>
                <w:sz w:val="24"/>
              </w:rPr>
              <w:t>意见处理说明</w:t>
            </w:r>
          </w:p>
          <w:p w14:paraId="28797809">
            <w:pPr>
              <w:jc w:val="center"/>
              <w:rPr>
                <w:rFonts w:ascii="仿宋_GB2312" w:hAnsi="宋体" w:eastAsia="仿宋_GB2312"/>
                <w:sz w:val="24"/>
              </w:rPr>
            </w:pPr>
            <w:r>
              <w:rPr>
                <w:rFonts w:hint="eastAsia" w:ascii="仿宋_GB2312" w:hAnsi="宋体" w:eastAsia="仿宋_GB2312"/>
                <w:sz w:val="24"/>
              </w:rPr>
              <w:t>（不采纳理由等）</w:t>
            </w:r>
          </w:p>
        </w:tc>
      </w:tr>
      <w:tr w14:paraId="483C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609" w:type="dxa"/>
            <w:noWrap w:val="0"/>
            <w:vAlign w:val="center"/>
          </w:tcPr>
          <w:p w14:paraId="2CDAA7AD">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2270" w:type="dxa"/>
            <w:noWrap w:val="0"/>
            <w:vAlign w:val="center"/>
          </w:tcPr>
          <w:p w14:paraId="79CF632E">
            <w:pPr>
              <w:jc w:val="center"/>
              <w:rPr>
                <w:rFonts w:hint="eastAsia" w:ascii="仿宋_GB2312" w:hAnsi="宋体" w:eastAsia="仿宋_GB2312"/>
                <w:sz w:val="24"/>
                <w:lang w:eastAsia="zh-CN"/>
              </w:rPr>
            </w:pPr>
            <w:r>
              <w:rPr>
                <w:rFonts w:hint="eastAsia" w:ascii="仿宋_GB2312" w:hAnsi="宋体" w:eastAsia="仿宋_GB2312"/>
                <w:sz w:val="24"/>
                <w:lang w:eastAsia="zh-CN"/>
              </w:rPr>
              <w:t>6.3 鱼类的放养</w:t>
            </w:r>
          </w:p>
          <w:p w14:paraId="736E2094">
            <w:pPr>
              <w:jc w:val="center"/>
              <w:rPr>
                <w:rFonts w:hint="eastAsia" w:ascii="仿宋_GB2312" w:hAnsi="宋体" w:eastAsia="仿宋_GB2312"/>
                <w:sz w:val="24"/>
                <w:lang w:eastAsia="zh-CN"/>
              </w:rPr>
            </w:pPr>
            <w:r>
              <w:rPr>
                <w:rFonts w:hint="eastAsia" w:ascii="仿宋_GB2312" w:hAnsi="宋体" w:eastAsia="仿宋_GB2312"/>
                <w:sz w:val="24"/>
                <w:lang w:eastAsia="zh-CN"/>
              </w:rPr>
              <w:t>6.3.3 放养规格及放养密度</w:t>
            </w:r>
          </w:p>
        </w:tc>
        <w:tc>
          <w:tcPr>
            <w:tcW w:w="3681" w:type="dxa"/>
            <w:noWrap w:val="0"/>
            <w:vAlign w:val="center"/>
          </w:tcPr>
          <w:p w14:paraId="510A23CD">
            <w:pPr>
              <w:jc w:val="center"/>
              <w:rPr>
                <w:rFonts w:hint="eastAsia" w:ascii="仿宋_GB2312" w:hAnsi="宋体" w:eastAsia="仿宋_GB2312"/>
                <w:sz w:val="24"/>
                <w:lang w:eastAsia="zh-CN"/>
              </w:rPr>
            </w:pPr>
            <w:r>
              <w:rPr>
                <w:rFonts w:hint="eastAsia" w:ascii="仿宋_GB2312" w:hAnsi="宋体" w:eastAsia="仿宋_GB2312"/>
                <w:sz w:val="24"/>
                <w:lang w:eastAsia="zh-CN"/>
              </w:rPr>
              <w:t>放养规格及放养密度调整合理</w:t>
            </w:r>
          </w:p>
        </w:tc>
        <w:tc>
          <w:tcPr>
            <w:tcW w:w="3108" w:type="dxa"/>
            <w:noWrap w:val="0"/>
            <w:vAlign w:val="center"/>
          </w:tcPr>
          <w:p w14:paraId="1160AB63">
            <w:pPr>
              <w:jc w:val="center"/>
              <w:rPr>
                <w:rFonts w:hint="eastAsia" w:ascii="仿宋_GB2312" w:hAnsi="宋体" w:eastAsia="仿宋_GB2312"/>
                <w:sz w:val="24"/>
                <w:lang w:eastAsia="zh-CN"/>
              </w:rPr>
            </w:pPr>
            <w:r>
              <w:rPr>
                <w:rFonts w:hint="eastAsia" w:ascii="仿宋_GB2312" w:hAnsi="宋体" w:eastAsia="仿宋_GB2312"/>
                <w:sz w:val="24"/>
                <w:lang w:eastAsia="zh-CN"/>
              </w:rPr>
              <w:t>芮城县农业农村局水产站</w:t>
            </w:r>
          </w:p>
        </w:tc>
        <w:tc>
          <w:tcPr>
            <w:tcW w:w="1956" w:type="dxa"/>
            <w:noWrap w:val="0"/>
            <w:vAlign w:val="center"/>
          </w:tcPr>
          <w:p w14:paraId="6010F0CE">
            <w:pPr>
              <w:jc w:val="center"/>
              <w:rPr>
                <w:rFonts w:hint="eastAsia" w:ascii="仿宋_GB2312" w:hAnsi="宋体" w:eastAsia="仿宋_GB2312"/>
                <w:sz w:val="24"/>
              </w:rPr>
            </w:pPr>
            <w:r>
              <w:rPr>
                <w:rFonts w:hint="eastAsia" w:ascii="仿宋_GB2312" w:hAnsi="宋体" w:eastAsia="仿宋_GB2312"/>
                <w:sz w:val="24"/>
              </w:rPr>
              <w:t>采纳</w:t>
            </w:r>
          </w:p>
        </w:tc>
        <w:tc>
          <w:tcPr>
            <w:tcW w:w="2051" w:type="dxa"/>
            <w:noWrap w:val="0"/>
            <w:vAlign w:val="center"/>
          </w:tcPr>
          <w:p w14:paraId="6ECB9FF5">
            <w:pPr>
              <w:jc w:val="center"/>
              <w:rPr>
                <w:rFonts w:hint="eastAsia" w:ascii="仿宋_GB2312" w:hAnsi="宋体" w:eastAsia="仿宋_GB2312"/>
                <w:sz w:val="24"/>
                <w:lang w:eastAsia="zh-CN"/>
              </w:rPr>
            </w:pPr>
            <w:r>
              <w:rPr>
                <w:rFonts w:hint="eastAsia" w:ascii="仿宋_GB2312" w:hAnsi="宋体" w:eastAsia="仿宋_GB2312"/>
                <w:sz w:val="24"/>
                <w:lang w:eastAsia="zh-CN"/>
              </w:rPr>
              <w:t>已修改</w:t>
            </w:r>
          </w:p>
        </w:tc>
      </w:tr>
      <w:tr w14:paraId="0016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609" w:type="dxa"/>
            <w:noWrap w:val="0"/>
            <w:vAlign w:val="center"/>
          </w:tcPr>
          <w:p w14:paraId="79956F06">
            <w:pPr>
              <w:jc w:val="center"/>
              <w:rPr>
                <w:rFonts w:hint="eastAsia" w:ascii="仿宋_GB2312" w:hAnsi="宋体" w:eastAsia="仿宋_GB2312" w:cs="Times New Roman"/>
                <w:kern w:val="2"/>
                <w:sz w:val="24"/>
                <w:lang w:val="en-US" w:eastAsia="zh-CN" w:bidi="ar-SA"/>
              </w:rPr>
            </w:pPr>
            <w:r>
              <w:rPr>
                <w:rFonts w:hint="eastAsia" w:ascii="仿宋_GB2312" w:hAnsi="宋体" w:eastAsia="仿宋_GB2312"/>
                <w:sz w:val="24"/>
                <w:lang w:val="en-US" w:eastAsia="zh-CN"/>
              </w:rPr>
              <w:t>2</w:t>
            </w:r>
          </w:p>
        </w:tc>
        <w:tc>
          <w:tcPr>
            <w:tcW w:w="2270" w:type="dxa"/>
            <w:noWrap w:val="0"/>
            <w:vAlign w:val="center"/>
          </w:tcPr>
          <w:p w14:paraId="53D3E7E0">
            <w:pPr>
              <w:jc w:val="center"/>
              <w:rPr>
                <w:rFonts w:hint="eastAsia" w:ascii="仿宋_GB2312" w:hAnsi="宋体" w:eastAsia="仿宋_GB2312"/>
                <w:sz w:val="24"/>
                <w:lang w:eastAsia="zh-CN"/>
              </w:rPr>
            </w:pPr>
            <w:r>
              <w:rPr>
                <w:rFonts w:hint="eastAsia" w:ascii="仿宋_GB2312" w:hAnsi="宋体" w:eastAsia="仿宋_GB2312"/>
                <w:sz w:val="24"/>
                <w:lang w:eastAsia="zh-CN"/>
              </w:rPr>
              <w:t>5 养鱼莲田的设施</w:t>
            </w:r>
          </w:p>
          <w:p w14:paraId="6B4F7C11">
            <w:pPr>
              <w:jc w:val="center"/>
              <w:rPr>
                <w:rFonts w:hint="eastAsia" w:ascii="仿宋_GB2312" w:hAnsi="宋体" w:eastAsia="仿宋_GB2312"/>
                <w:sz w:val="24"/>
                <w:lang w:eastAsia="zh-CN"/>
              </w:rPr>
            </w:pPr>
            <w:r>
              <w:rPr>
                <w:rFonts w:hint="eastAsia" w:ascii="仿宋_GB2312" w:hAnsi="宋体" w:eastAsia="仿宋_GB2312"/>
                <w:sz w:val="24"/>
                <w:lang w:eastAsia="zh-CN"/>
              </w:rPr>
              <w:t>5.3  鱼沟</w:t>
            </w:r>
          </w:p>
        </w:tc>
        <w:tc>
          <w:tcPr>
            <w:tcW w:w="3681" w:type="dxa"/>
            <w:noWrap w:val="0"/>
            <w:vAlign w:val="center"/>
          </w:tcPr>
          <w:p w14:paraId="23E83C3B">
            <w:pPr>
              <w:jc w:val="center"/>
              <w:rPr>
                <w:rFonts w:hint="eastAsia" w:ascii="仿宋_GB2312" w:hAnsi="宋体" w:eastAsia="仿宋_GB2312"/>
                <w:sz w:val="24"/>
                <w:lang w:eastAsia="zh-CN"/>
              </w:rPr>
            </w:pPr>
            <w:r>
              <w:rPr>
                <w:rFonts w:hint="eastAsia" w:ascii="仿宋_GB2312" w:hAnsi="宋体" w:eastAsia="仿宋_GB2312"/>
                <w:sz w:val="24"/>
                <w:lang w:eastAsia="zh-CN"/>
              </w:rPr>
              <w:t>养鱼莲田的设施， 鱼沟宜采用宽沟深渠</w:t>
            </w:r>
          </w:p>
        </w:tc>
        <w:tc>
          <w:tcPr>
            <w:tcW w:w="3108" w:type="dxa"/>
            <w:noWrap w:val="0"/>
            <w:vAlign w:val="center"/>
          </w:tcPr>
          <w:p w14:paraId="290DA239">
            <w:pPr>
              <w:jc w:val="center"/>
              <w:rPr>
                <w:rFonts w:hint="eastAsia" w:ascii="仿宋_GB2312" w:hAnsi="宋体" w:eastAsia="仿宋_GB2312"/>
                <w:sz w:val="24"/>
                <w:lang w:eastAsia="zh-CN"/>
              </w:rPr>
            </w:pPr>
            <w:r>
              <w:rPr>
                <w:rFonts w:hint="eastAsia" w:ascii="仿宋_GB2312" w:hAnsi="宋体" w:eastAsia="仿宋_GB2312"/>
                <w:sz w:val="24"/>
                <w:lang w:eastAsia="zh-CN"/>
              </w:rPr>
              <w:t>永济市农业农村局水产站</w:t>
            </w:r>
          </w:p>
        </w:tc>
        <w:tc>
          <w:tcPr>
            <w:tcW w:w="1956" w:type="dxa"/>
            <w:noWrap w:val="0"/>
            <w:vAlign w:val="center"/>
          </w:tcPr>
          <w:p w14:paraId="53805CD1">
            <w:pPr>
              <w:jc w:val="center"/>
              <w:rPr>
                <w:rFonts w:hint="eastAsia" w:ascii="仿宋_GB2312" w:hAnsi="宋体" w:eastAsia="仿宋_GB2312" w:cs="Times New Roman"/>
                <w:kern w:val="2"/>
                <w:sz w:val="24"/>
                <w:lang w:val="en-US" w:eastAsia="zh-CN" w:bidi="ar-SA"/>
              </w:rPr>
            </w:pPr>
            <w:r>
              <w:rPr>
                <w:rFonts w:hint="eastAsia" w:ascii="仿宋_GB2312" w:hAnsi="宋体" w:eastAsia="仿宋_GB2312"/>
                <w:sz w:val="24"/>
              </w:rPr>
              <w:t>采纳</w:t>
            </w:r>
          </w:p>
        </w:tc>
        <w:tc>
          <w:tcPr>
            <w:tcW w:w="2051" w:type="dxa"/>
            <w:noWrap w:val="0"/>
            <w:vAlign w:val="center"/>
          </w:tcPr>
          <w:p w14:paraId="1F376FFF">
            <w:pPr>
              <w:jc w:val="center"/>
              <w:rPr>
                <w:rFonts w:hint="eastAsia" w:ascii="仿宋_GB2312" w:hAnsi="宋体" w:eastAsia="仿宋_GB2312"/>
                <w:sz w:val="24"/>
              </w:rPr>
            </w:pPr>
            <w:r>
              <w:rPr>
                <w:rFonts w:hint="eastAsia" w:ascii="仿宋_GB2312" w:hAnsi="宋体" w:eastAsia="仿宋_GB2312"/>
                <w:sz w:val="24"/>
                <w:lang w:eastAsia="zh-CN"/>
              </w:rPr>
              <w:t>已修改</w:t>
            </w:r>
          </w:p>
        </w:tc>
      </w:tr>
      <w:tr w14:paraId="79A3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609" w:type="dxa"/>
            <w:noWrap w:val="0"/>
            <w:vAlign w:val="center"/>
          </w:tcPr>
          <w:p w14:paraId="27E0099C">
            <w:pPr>
              <w:jc w:val="center"/>
              <w:rPr>
                <w:rFonts w:hint="eastAsia" w:ascii="仿宋_GB2312" w:hAnsi="宋体" w:eastAsia="仿宋_GB2312" w:cs="Times New Roman"/>
                <w:kern w:val="2"/>
                <w:sz w:val="24"/>
                <w:lang w:val="en-US" w:eastAsia="zh-CN" w:bidi="ar-SA"/>
              </w:rPr>
            </w:pPr>
            <w:r>
              <w:rPr>
                <w:rFonts w:hint="eastAsia" w:ascii="仿宋_GB2312" w:hAnsi="宋体" w:eastAsia="仿宋_GB2312"/>
                <w:sz w:val="24"/>
                <w:lang w:val="en-US" w:eastAsia="zh-CN"/>
              </w:rPr>
              <w:t>3</w:t>
            </w:r>
          </w:p>
        </w:tc>
        <w:tc>
          <w:tcPr>
            <w:tcW w:w="2270" w:type="dxa"/>
            <w:noWrap w:val="0"/>
            <w:vAlign w:val="center"/>
          </w:tcPr>
          <w:p w14:paraId="68598A9B">
            <w:pPr>
              <w:jc w:val="center"/>
              <w:rPr>
                <w:rFonts w:hint="eastAsia" w:ascii="仿宋_GB2312" w:hAnsi="宋体" w:eastAsia="仿宋_GB2312"/>
                <w:sz w:val="24"/>
              </w:rPr>
            </w:pPr>
          </w:p>
        </w:tc>
        <w:tc>
          <w:tcPr>
            <w:tcW w:w="3681" w:type="dxa"/>
            <w:noWrap w:val="0"/>
            <w:vAlign w:val="center"/>
          </w:tcPr>
          <w:p w14:paraId="181ACE09">
            <w:pPr>
              <w:jc w:val="center"/>
              <w:rPr>
                <w:rFonts w:hint="eastAsia" w:ascii="仿宋_GB2312" w:hAnsi="宋体" w:eastAsia="仿宋_GB2312"/>
                <w:sz w:val="24"/>
                <w:lang w:eastAsia="zh-CN"/>
              </w:rPr>
            </w:pPr>
            <w:r>
              <w:rPr>
                <w:rFonts w:hint="eastAsia" w:ascii="仿宋_GB2312" w:hAnsi="宋体" w:eastAsia="仿宋_GB2312"/>
                <w:sz w:val="24"/>
                <w:lang w:eastAsia="zh-CN"/>
              </w:rPr>
              <w:t>无意见</w:t>
            </w:r>
          </w:p>
        </w:tc>
        <w:tc>
          <w:tcPr>
            <w:tcW w:w="3108" w:type="dxa"/>
            <w:noWrap w:val="0"/>
            <w:vAlign w:val="center"/>
          </w:tcPr>
          <w:p w14:paraId="02107E1A">
            <w:pPr>
              <w:jc w:val="center"/>
              <w:rPr>
                <w:rFonts w:hint="eastAsia" w:ascii="仿宋_GB2312" w:hAnsi="宋体" w:eastAsia="仿宋_GB2312"/>
                <w:sz w:val="24"/>
              </w:rPr>
            </w:pPr>
            <w:r>
              <w:rPr>
                <w:rFonts w:hint="eastAsia" w:ascii="仿宋_GB2312" w:hAnsi="宋体" w:eastAsia="仿宋_GB2312"/>
                <w:sz w:val="24"/>
                <w:lang w:eastAsia="zh-CN"/>
              </w:rPr>
              <w:t>临汾市农业农村局渔业科</w:t>
            </w:r>
          </w:p>
        </w:tc>
        <w:tc>
          <w:tcPr>
            <w:tcW w:w="1956" w:type="dxa"/>
            <w:noWrap w:val="0"/>
            <w:vAlign w:val="center"/>
          </w:tcPr>
          <w:p w14:paraId="41AAF36B">
            <w:pPr>
              <w:jc w:val="center"/>
              <w:rPr>
                <w:rFonts w:hint="eastAsia" w:ascii="仿宋_GB2312" w:hAnsi="宋体" w:eastAsia="仿宋_GB2312" w:cs="Times New Roman"/>
                <w:kern w:val="2"/>
                <w:sz w:val="24"/>
                <w:lang w:val="en-US" w:eastAsia="zh-CN" w:bidi="ar-SA"/>
              </w:rPr>
            </w:pPr>
          </w:p>
        </w:tc>
        <w:tc>
          <w:tcPr>
            <w:tcW w:w="2051" w:type="dxa"/>
            <w:noWrap w:val="0"/>
            <w:vAlign w:val="center"/>
          </w:tcPr>
          <w:p w14:paraId="75CF8190">
            <w:pPr>
              <w:jc w:val="center"/>
              <w:rPr>
                <w:rFonts w:hint="eastAsia" w:ascii="仿宋_GB2312" w:hAnsi="宋体" w:eastAsia="仿宋_GB2312"/>
                <w:sz w:val="24"/>
              </w:rPr>
            </w:pPr>
          </w:p>
        </w:tc>
      </w:tr>
      <w:tr w14:paraId="3B29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609" w:type="dxa"/>
            <w:noWrap w:val="0"/>
            <w:vAlign w:val="center"/>
          </w:tcPr>
          <w:p w14:paraId="7CA9D7BF">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4</w:t>
            </w:r>
          </w:p>
        </w:tc>
        <w:tc>
          <w:tcPr>
            <w:tcW w:w="2270" w:type="dxa"/>
            <w:noWrap w:val="0"/>
            <w:vAlign w:val="center"/>
          </w:tcPr>
          <w:p w14:paraId="26080B00">
            <w:pPr>
              <w:jc w:val="center"/>
              <w:rPr>
                <w:rFonts w:hint="eastAsia" w:ascii="仿宋_GB2312" w:hAnsi="宋体" w:eastAsia="仿宋_GB2312"/>
                <w:sz w:val="24"/>
              </w:rPr>
            </w:pPr>
          </w:p>
        </w:tc>
        <w:tc>
          <w:tcPr>
            <w:tcW w:w="3681" w:type="dxa"/>
            <w:noWrap w:val="0"/>
            <w:vAlign w:val="center"/>
          </w:tcPr>
          <w:p w14:paraId="5F512306">
            <w:pPr>
              <w:jc w:val="center"/>
              <w:rPr>
                <w:rFonts w:hint="eastAsia" w:ascii="仿宋_GB2312" w:hAnsi="宋体" w:eastAsia="仿宋_GB2312"/>
                <w:sz w:val="24"/>
                <w:lang w:eastAsia="zh-CN"/>
              </w:rPr>
            </w:pPr>
            <w:r>
              <w:rPr>
                <w:rFonts w:hint="eastAsia" w:ascii="仿宋_GB2312" w:hAnsi="宋体" w:eastAsia="仿宋_GB2312"/>
                <w:sz w:val="24"/>
                <w:lang w:eastAsia="zh-CN"/>
              </w:rPr>
              <w:t>无意见</w:t>
            </w:r>
          </w:p>
        </w:tc>
        <w:tc>
          <w:tcPr>
            <w:tcW w:w="3108" w:type="dxa"/>
            <w:noWrap w:val="0"/>
            <w:vAlign w:val="center"/>
          </w:tcPr>
          <w:p w14:paraId="67D25382">
            <w:pPr>
              <w:jc w:val="center"/>
              <w:rPr>
                <w:rFonts w:hint="eastAsia" w:ascii="仿宋_GB2312" w:hAnsi="宋体" w:eastAsia="仿宋_GB2312"/>
                <w:sz w:val="24"/>
              </w:rPr>
            </w:pPr>
            <w:r>
              <w:rPr>
                <w:rFonts w:hint="eastAsia" w:ascii="仿宋_GB2312" w:hAnsi="宋体" w:eastAsia="仿宋_GB2312"/>
                <w:sz w:val="24"/>
                <w:lang w:eastAsia="zh-CN"/>
              </w:rPr>
              <w:t>忻州市农业农村局渔业科</w:t>
            </w:r>
          </w:p>
        </w:tc>
        <w:tc>
          <w:tcPr>
            <w:tcW w:w="1956" w:type="dxa"/>
            <w:noWrap w:val="0"/>
            <w:vAlign w:val="center"/>
          </w:tcPr>
          <w:p w14:paraId="7A5CDD43">
            <w:pPr>
              <w:jc w:val="center"/>
              <w:rPr>
                <w:rFonts w:hint="eastAsia" w:ascii="仿宋_GB2312" w:hAnsi="宋体" w:eastAsia="仿宋_GB2312"/>
                <w:sz w:val="24"/>
              </w:rPr>
            </w:pPr>
          </w:p>
        </w:tc>
        <w:tc>
          <w:tcPr>
            <w:tcW w:w="2051" w:type="dxa"/>
            <w:noWrap w:val="0"/>
            <w:vAlign w:val="center"/>
          </w:tcPr>
          <w:p w14:paraId="55E12316">
            <w:pPr>
              <w:jc w:val="center"/>
              <w:rPr>
                <w:rFonts w:hint="eastAsia" w:ascii="仿宋_GB2312" w:hAnsi="宋体" w:eastAsia="仿宋_GB2312"/>
                <w:sz w:val="24"/>
              </w:rPr>
            </w:pPr>
          </w:p>
        </w:tc>
      </w:tr>
      <w:tr w14:paraId="4400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609" w:type="dxa"/>
            <w:noWrap w:val="0"/>
            <w:vAlign w:val="center"/>
          </w:tcPr>
          <w:p w14:paraId="7757CA42">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5</w:t>
            </w:r>
          </w:p>
        </w:tc>
        <w:tc>
          <w:tcPr>
            <w:tcW w:w="2270" w:type="dxa"/>
            <w:noWrap w:val="0"/>
            <w:vAlign w:val="center"/>
          </w:tcPr>
          <w:p w14:paraId="4A8F04A4">
            <w:pPr>
              <w:jc w:val="center"/>
              <w:rPr>
                <w:rFonts w:hint="eastAsia" w:ascii="仿宋_GB2312" w:hAnsi="宋体" w:eastAsia="仿宋_GB2312"/>
                <w:sz w:val="24"/>
              </w:rPr>
            </w:pPr>
          </w:p>
        </w:tc>
        <w:tc>
          <w:tcPr>
            <w:tcW w:w="3681" w:type="dxa"/>
            <w:noWrap w:val="0"/>
            <w:vAlign w:val="center"/>
          </w:tcPr>
          <w:p w14:paraId="6044EFA2">
            <w:pPr>
              <w:jc w:val="center"/>
              <w:rPr>
                <w:rFonts w:hint="eastAsia" w:ascii="仿宋_GB2312" w:hAnsi="宋体" w:eastAsia="仿宋_GB2312"/>
                <w:sz w:val="24"/>
                <w:lang w:eastAsia="zh-CN"/>
              </w:rPr>
            </w:pPr>
            <w:r>
              <w:rPr>
                <w:rFonts w:hint="eastAsia" w:ascii="仿宋_GB2312" w:hAnsi="宋体" w:eastAsia="仿宋_GB2312"/>
                <w:sz w:val="24"/>
                <w:lang w:eastAsia="zh-CN"/>
              </w:rPr>
              <w:t>无意见</w:t>
            </w:r>
          </w:p>
        </w:tc>
        <w:tc>
          <w:tcPr>
            <w:tcW w:w="3108" w:type="dxa"/>
            <w:noWrap w:val="0"/>
            <w:vAlign w:val="center"/>
          </w:tcPr>
          <w:p w14:paraId="20F91B50">
            <w:pPr>
              <w:jc w:val="center"/>
              <w:rPr>
                <w:rFonts w:hint="eastAsia" w:ascii="仿宋_GB2312" w:hAnsi="宋体" w:eastAsia="仿宋_GB2312"/>
                <w:sz w:val="24"/>
              </w:rPr>
            </w:pPr>
            <w:r>
              <w:rPr>
                <w:rFonts w:hint="eastAsia" w:ascii="仿宋_GB2312" w:hAnsi="宋体" w:eastAsia="仿宋_GB2312"/>
                <w:sz w:val="24"/>
                <w:lang w:eastAsia="zh-CN"/>
              </w:rPr>
              <w:t>大同市农业农村局渔业科</w:t>
            </w:r>
          </w:p>
        </w:tc>
        <w:tc>
          <w:tcPr>
            <w:tcW w:w="1956" w:type="dxa"/>
            <w:noWrap w:val="0"/>
            <w:vAlign w:val="center"/>
          </w:tcPr>
          <w:p w14:paraId="40FA975A">
            <w:pPr>
              <w:jc w:val="center"/>
              <w:rPr>
                <w:rFonts w:hint="eastAsia" w:ascii="仿宋_GB2312" w:hAnsi="宋体" w:eastAsia="仿宋_GB2312"/>
                <w:sz w:val="24"/>
              </w:rPr>
            </w:pPr>
          </w:p>
        </w:tc>
        <w:tc>
          <w:tcPr>
            <w:tcW w:w="2051" w:type="dxa"/>
            <w:noWrap w:val="0"/>
            <w:vAlign w:val="center"/>
          </w:tcPr>
          <w:p w14:paraId="622ECAB7">
            <w:pPr>
              <w:jc w:val="center"/>
              <w:rPr>
                <w:rFonts w:hint="eastAsia" w:ascii="仿宋_GB2312" w:hAnsi="宋体" w:eastAsia="仿宋_GB2312"/>
                <w:sz w:val="24"/>
              </w:rPr>
            </w:pPr>
          </w:p>
        </w:tc>
      </w:tr>
      <w:tr w14:paraId="72D8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3675" w:type="dxa"/>
            <w:gridSpan w:val="6"/>
            <w:noWrap w:val="0"/>
            <w:vAlign w:val="center"/>
          </w:tcPr>
          <w:p w14:paraId="07CF80D9">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7C2D5A90">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5</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5</w:t>
            </w:r>
            <w:r>
              <w:rPr>
                <w:rFonts w:hint="eastAsia" w:ascii="仿宋_GB2312" w:hAnsi="宋体" w:eastAsia="仿宋_GB2312"/>
                <w:sz w:val="24"/>
              </w:rPr>
              <w:t>个，收到征求意见稿并提出意见的单位数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2</w:t>
            </w:r>
            <w:r>
              <w:rPr>
                <w:rFonts w:hint="eastAsia" w:ascii="仿宋_GB2312" w:hAnsi="宋体" w:eastAsia="仿宋_GB2312"/>
                <w:sz w:val="24"/>
              </w:rPr>
              <w:t>个，没有回函的单位数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0</w:t>
            </w:r>
            <w:r>
              <w:rPr>
                <w:rFonts w:hint="eastAsia" w:ascii="仿宋_GB2312" w:hAnsi="宋体" w:eastAsia="仿宋_GB2312"/>
                <w:sz w:val="24"/>
              </w:rPr>
              <w:t>个，共收到</w:t>
            </w:r>
            <w:r>
              <w:rPr>
                <w:rFonts w:ascii="Times New Roman" w:hAnsi="Times New Roman" w:eastAsia="宋体" w:cs="Times New Roman"/>
                <w:szCs w:val="21"/>
                <w:u w:val="single"/>
              </w:rPr>
              <w:t xml:space="preserve"> </w:t>
            </w:r>
            <w:r>
              <w:rPr>
                <w:rFonts w:hint="eastAsia" w:cs="Times New Roman"/>
                <w:szCs w:val="21"/>
                <w:u w:val="single"/>
                <w:lang w:val="en-US" w:eastAsia="zh-CN"/>
              </w:rPr>
              <w:t>2</w:t>
            </w:r>
            <w:r>
              <w:rPr>
                <w:rFonts w:ascii="Times New Roman" w:hAnsi="Times New Roman" w:eastAsia="宋体" w:cs="Times New Roman"/>
                <w:szCs w:val="21"/>
                <w:u w:val="single"/>
              </w:rPr>
              <w:t xml:space="preserve"> </w:t>
            </w:r>
            <w:r>
              <w:rPr>
                <w:rFonts w:hint="eastAsia" w:ascii="仿宋_GB2312" w:hAnsi="宋体" w:eastAsia="仿宋_GB2312"/>
                <w:sz w:val="24"/>
              </w:rPr>
              <w:t>条意见，采纳</w:t>
            </w:r>
            <w:r>
              <w:rPr>
                <w:rFonts w:ascii="Times New Roman" w:hAnsi="Times New Roman" w:eastAsia="宋体" w:cs="Times New Roman"/>
                <w:szCs w:val="21"/>
                <w:u w:val="single"/>
              </w:rPr>
              <w:t xml:space="preserve"> </w:t>
            </w:r>
            <w:r>
              <w:rPr>
                <w:rFonts w:hint="eastAsia" w:cs="Times New Roman"/>
                <w:szCs w:val="21"/>
                <w:u w:val="single"/>
                <w:lang w:val="en-US" w:eastAsia="zh-CN"/>
              </w:rPr>
              <w:t>2</w:t>
            </w:r>
            <w:r>
              <w:rPr>
                <w:rFonts w:ascii="Times New Roman" w:hAnsi="Times New Roman" w:eastAsia="宋体" w:cs="Times New Roman"/>
                <w:szCs w:val="21"/>
                <w:u w:val="single"/>
              </w:rPr>
              <w:t xml:space="preserve"> </w:t>
            </w:r>
            <w:r>
              <w:rPr>
                <w:rFonts w:hint="eastAsia" w:ascii="仿宋_GB2312" w:hAnsi="宋体" w:eastAsia="仿宋_GB2312"/>
                <w:sz w:val="24"/>
              </w:rPr>
              <w:t>条意见，部分采纳</w:t>
            </w:r>
            <w:r>
              <w:rPr>
                <w:rFonts w:ascii="Times New Roman" w:hAnsi="Times New Roman" w:eastAsia="宋体" w:cs="Times New Roman"/>
                <w:szCs w:val="21"/>
                <w:u w:val="single"/>
              </w:rPr>
              <w:t xml:space="preserve"> </w:t>
            </w:r>
            <w:r>
              <w:rPr>
                <w:rFonts w:hint="eastAsia" w:ascii="仿宋_GB2312" w:hAnsi="宋体" w:eastAsia="仿宋_GB2312"/>
                <w:sz w:val="24"/>
              </w:rPr>
              <w:t>条意见，未采纳</w:t>
            </w:r>
            <w:r>
              <w:rPr>
                <w:rFonts w:ascii="Times New Roman" w:hAnsi="Times New Roman" w:eastAsia="宋体" w:cs="Times New Roman"/>
                <w:szCs w:val="21"/>
                <w:u w:val="single"/>
              </w:rPr>
              <w:t xml:space="preserve"> </w:t>
            </w:r>
            <w:r>
              <w:rPr>
                <w:rFonts w:hint="eastAsia" w:ascii="仿宋_GB2312" w:hAnsi="宋体" w:eastAsia="仿宋_GB2312"/>
                <w:sz w:val="24"/>
              </w:rPr>
              <w:t>条意见。</w:t>
            </w:r>
          </w:p>
        </w:tc>
      </w:tr>
    </w:tbl>
    <w:p w14:paraId="3F7671D8">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rPr>
      </w:pPr>
      <w:r>
        <w:rPr>
          <w:rFonts w:hint="eastAsia" w:ascii="仿宋_GB2312" w:hAnsi="宋体" w:eastAsia="仿宋_GB2312" w:cs="Times New Roman"/>
          <w:w w:val="80"/>
          <w:sz w:val="24"/>
          <w:lang w:val="en-US" w:eastAsia="zh-CN"/>
        </w:rPr>
        <w:t>《莲鱼综合种养技术规范</w:t>
      </w:r>
      <w:r>
        <w:rPr>
          <w:rFonts w:hint="eastAsia" w:ascii="仿宋_GB2312" w:hAnsi="宋体" w:eastAsia="仿宋_GB2312"/>
          <w:w w:val="80"/>
          <w:sz w:val="24"/>
          <w:lang w:val="en-US" w:eastAsia="zh-CN"/>
        </w:rPr>
        <w:t>》</w:t>
      </w:r>
      <w:r>
        <w:rPr>
          <w:rFonts w:hint="eastAsia" w:ascii="仿宋_GB2312" w:hAnsi="宋体" w:eastAsia="仿宋_GB2312"/>
          <w:w w:val="80"/>
          <w:sz w:val="24"/>
        </w:rPr>
        <w:t>起草单位：</w:t>
      </w:r>
      <w:r>
        <w:rPr>
          <w:rFonts w:hint="eastAsia" w:ascii="仿宋_GB2312" w:hAnsi="宋体" w:eastAsia="仿宋_GB2312"/>
          <w:w w:val="80"/>
          <w:sz w:val="24"/>
          <w:lang w:eastAsia="zh-CN"/>
        </w:rPr>
        <w:t>山西省水产技术推广服务中心</w:t>
      </w:r>
      <w:r>
        <w:rPr>
          <w:rFonts w:hint="eastAsia" w:ascii="仿宋_GB2312" w:hAnsi="宋体" w:eastAsia="仿宋_GB2312"/>
          <w:w w:val="80"/>
          <w:sz w:val="24"/>
          <w:lang w:val="en-US" w:eastAsia="zh-CN"/>
        </w:rPr>
        <w:t xml:space="preserve">   </w:t>
      </w:r>
      <w:r>
        <w:rPr>
          <w:rFonts w:hint="eastAsia" w:ascii="仿宋_GB2312" w:hAnsi="宋体" w:eastAsia="仿宋_GB2312"/>
          <w:w w:val="80"/>
          <w:sz w:val="24"/>
        </w:rPr>
        <w:t>承办人：</w:t>
      </w:r>
      <w:r>
        <w:rPr>
          <w:rFonts w:hint="eastAsia" w:ascii="仿宋_GB2312" w:hAnsi="宋体" w:eastAsia="仿宋_GB2312"/>
          <w:w w:val="80"/>
          <w:sz w:val="24"/>
          <w:lang w:eastAsia="zh-CN"/>
        </w:rPr>
        <w:t>李晓东</w:t>
      </w:r>
      <w:r>
        <w:rPr>
          <w:rFonts w:hint="eastAsia" w:ascii="仿宋_GB2312" w:hAnsi="宋体" w:eastAsia="仿宋_GB2312"/>
          <w:w w:val="80"/>
          <w:sz w:val="24"/>
        </w:rPr>
        <w:t xml:space="preserve">   联系电话：</w:t>
      </w:r>
      <w:r>
        <w:rPr>
          <w:rFonts w:hint="eastAsia" w:ascii="仿宋_GB2312" w:hAnsi="宋体" w:eastAsia="仿宋_GB2312"/>
          <w:w w:val="80"/>
          <w:sz w:val="24"/>
          <w:lang w:val="en-US" w:eastAsia="zh-CN"/>
        </w:rPr>
        <w:t xml:space="preserve">13653650133    </w:t>
      </w:r>
      <w:r>
        <w:rPr>
          <w:rFonts w:hint="eastAsia" w:ascii="仿宋_GB2312" w:hAnsi="宋体" w:eastAsia="仿宋_GB2312"/>
          <w:w w:val="80"/>
          <w:sz w:val="24"/>
        </w:rPr>
        <w:t>填写时间：</w:t>
      </w:r>
      <w:r>
        <w:rPr>
          <w:rFonts w:hint="eastAsia" w:ascii="仿宋_GB2312" w:hAnsi="宋体" w:eastAsia="仿宋_GB2312"/>
          <w:w w:val="80"/>
          <w:sz w:val="24"/>
          <w:lang w:val="en-US" w:eastAsia="zh-CN"/>
        </w:rPr>
        <w:t>2024</w:t>
      </w:r>
      <w:r>
        <w:rPr>
          <w:rFonts w:hint="eastAsia" w:ascii="仿宋_GB2312" w:hAnsi="宋体" w:eastAsia="仿宋_GB2312"/>
          <w:w w:val="80"/>
          <w:sz w:val="24"/>
        </w:rPr>
        <w:t>年</w:t>
      </w:r>
      <w:r>
        <w:rPr>
          <w:rFonts w:hint="eastAsia" w:ascii="仿宋_GB2312" w:hAnsi="宋体" w:eastAsia="仿宋_GB2312"/>
          <w:w w:val="80"/>
          <w:sz w:val="24"/>
          <w:lang w:val="en-US" w:eastAsia="zh-CN"/>
        </w:rPr>
        <w:t>10</w:t>
      </w:r>
      <w:r>
        <w:rPr>
          <w:rFonts w:hint="eastAsia" w:ascii="仿宋_GB2312" w:hAnsi="宋体" w:eastAsia="仿宋_GB2312"/>
          <w:w w:val="80"/>
          <w:sz w:val="24"/>
        </w:rPr>
        <w:t>月</w:t>
      </w:r>
      <w:r>
        <w:rPr>
          <w:rFonts w:hint="eastAsia" w:ascii="仿宋_GB2312" w:hAnsi="宋体" w:eastAsia="仿宋_GB2312"/>
          <w:w w:val="80"/>
          <w:sz w:val="24"/>
          <w:lang w:val="en-US" w:eastAsia="zh-CN"/>
        </w:rPr>
        <w:t>12</w:t>
      </w:r>
      <w:r>
        <w:rPr>
          <w:rFonts w:hint="eastAsia" w:ascii="仿宋_GB2312" w:hAnsi="宋体" w:eastAsia="仿宋_GB2312"/>
          <w:w w:val="80"/>
          <w:sz w:val="24"/>
        </w:rPr>
        <w:t>日</w:t>
      </w:r>
    </w:p>
    <w:sectPr>
      <w:pgSz w:w="16838" w:h="11906" w:orient="landscape"/>
      <w:pgMar w:top="1417"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Cambria">
    <w:panose1 w:val="020405030504060A0204"/>
    <w:charset w:val="00"/>
    <w:family w:val="roman"/>
    <w:pitch w:val="default"/>
    <w:sig w:usb0="E00002FF" w:usb1="4000045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C0F42">
    <w:pPr>
      <w:pStyle w:val="4"/>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07332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07332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75AC9">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703EE">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DDA80">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5AB55">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6CC54"/>
    <w:multiLevelType w:val="singleLevel"/>
    <w:tmpl w:val="6FE6CC5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1Mzg4ZTI5N2I0ZTE1MTcyZTkwYTRhNmJiZWZhNDMifQ=="/>
  </w:docVars>
  <w:rsids>
    <w:rsidRoot w:val="55CB0EC4"/>
    <w:rsid w:val="007402CA"/>
    <w:rsid w:val="01AD42AE"/>
    <w:rsid w:val="02A40749"/>
    <w:rsid w:val="074A3B33"/>
    <w:rsid w:val="0964233F"/>
    <w:rsid w:val="122338FE"/>
    <w:rsid w:val="23C955A8"/>
    <w:rsid w:val="2D886ABB"/>
    <w:rsid w:val="35F96F21"/>
    <w:rsid w:val="36015455"/>
    <w:rsid w:val="36DA5E76"/>
    <w:rsid w:val="3D6A7D83"/>
    <w:rsid w:val="483671E0"/>
    <w:rsid w:val="4EC41E05"/>
    <w:rsid w:val="60CA4845"/>
    <w:rsid w:val="61396238"/>
    <w:rsid w:val="65EDF3EA"/>
    <w:rsid w:val="69272501"/>
    <w:rsid w:val="69625085"/>
    <w:rsid w:val="69912070"/>
    <w:rsid w:val="6BE50B36"/>
    <w:rsid w:val="6CB00A5F"/>
    <w:rsid w:val="6FFBA964"/>
    <w:rsid w:val="703D34F8"/>
    <w:rsid w:val="70787AE6"/>
    <w:rsid w:val="72F84F0E"/>
    <w:rsid w:val="734A20E3"/>
    <w:rsid w:val="756248C1"/>
    <w:rsid w:val="763D7808"/>
    <w:rsid w:val="78212811"/>
    <w:rsid w:val="787E7717"/>
    <w:rsid w:val="7B6502BC"/>
    <w:rsid w:val="7BF76E2C"/>
    <w:rsid w:val="7FFBA962"/>
    <w:rsid w:val="BFC72681"/>
    <w:rsid w:val="D77A449F"/>
    <w:rsid w:val="FDEFE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Times New Roman" w:hAnsi="Times New Roman" w:eastAsia="宋体" w:cs="Times New Roman"/>
      <w:sz w:val="32"/>
      <w:szCs w:val="32"/>
    </w:rPr>
  </w:style>
  <w:style w:type="paragraph" w:styleId="3">
    <w:name w:val="Normal Indent"/>
    <w:basedOn w:val="1"/>
    <w:qFormat/>
    <w:uiPriority w:val="0"/>
    <w:pPr>
      <w:ind w:firstLine="420" w:firstLine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next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首行缩进 21"/>
    <w:basedOn w:val="14"/>
    <w:next w:val="6"/>
    <w:qFormat/>
    <w:uiPriority w:val="0"/>
    <w:pPr>
      <w:ind w:left="200" w:leftChars="200"/>
    </w:pPr>
    <w:rPr>
      <w:rFonts w:eastAsia="仿宋_GB2312"/>
      <w:sz w:val="32"/>
      <w:szCs w:val="32"/>
    </w:rPr>
  </w:style>
  <w:style w:type="paragraph" w:customStyle="1" w:styleId="14">
    <w:name w:val="正文文本缩进1"/>
    <w:basedOn w:val="1"/>
    <w:qFormat/>
    <w:uiPriority w:val="0"/>
    <w:pPr>
      <w:ind w:left="200" w:leftChars="200"/>
    </w:pPr>
    <w:rPr>
      <w:rFonts w:ascii="Calibri" w:hAnsi="Calibri" w:eastAsia="宋体" w:cs="Times New Roman"/>
    </w:rPr>
  </w:style>
  <w:style w:type="character" w:customStyle="1" w:styleId="15">
    <w:name w:val="NormalCharacter"/>
    <w:qFormat/>
    <w:uiPriority w:val="0"/>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4702</Words>
  <Characters>4874</Characters>
  <Lines>0</Lines>
  <Paragraphs>0</Paragraphs>
  <TotalTime>19</TotalTime>
  <ScaleCrop>false</ScaleCrop>
  <LinksUpToDate>false</LinksUpToDate>
  <CharactersWithSpaces>4955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2022-12-12T17:45:00Z</dcterms:created>
  <dc:creator>戴润芳</dc:creator>
  <cp:lastModifiedBy>李晓东</cp:lastModifiedBy>
  <cp:lastPrinted>2022-12-12T17:47:00Z</cp:lastPrinted>
  <dcterms:modified xsi:type="dcterms:W3CDTF">2024-10-29T10:40:35Z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B4D4A5CFDDD044A6858AB88A2BEB1260</vt:lpwstr>
  </property>
</Properties>
</file>